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C198EC" w14:textId="77777777" w:rsidR="00605B99" w:rsidRPr="00605B99" w:rsidRDefault="00605B99" w:rsidP="00605B99">
      <w:pPr>
        <w:jc w:val="center"/>
        <w:rPr>
          <w:rFonts w:ascii="DengXian" w:eastAsia="DengXian" w:hAnsi="DengXian"/>
          <w:b/>
          <w:bCs/>
          <w:sz w:val="80"/>
          <w:szCs w:val="80"/>
        </w:rPr>
      </w:pPr>
      <w:r w:rsidRPr="00605B99">
        <w:rPr>
          <w:rFonts w:ascii="DengXian" w:eastAsia="DengXian" w:hAnsi="DengXian"/>
          <w:b/>
          <w:bCs/>
          <w:sz w:val="80"/>
          <w:szCs w:val="80"/>
        </w:rPr>
        <w:t>ANNEXE 3</w:t>
      </w:r>
    </w:p>
    <w:p w14:paraId="09148D06" w14:textId="77777777" w:rsidR="00605B99" w:rsidRDefault="00605B99" w:rsidP="00605B99">
      <w:pPr>
        <w:jc w:val="center"/>
        <w:rPr>
          <w:rFonts w:ascii="DengXian" w:eastAsia="DengXian" w:hAnsi="DengXian"/>
          <w:b/>
          <w:bCs/>
          <w:sz w:val="28"/>
          <w:szCs w:val="28"/>
        </w:rPr>
      </w:pPr>
    </w:p>
    <w:p w14:paraId="7472D93F" w14:textId="77777777" w:rsidR="00605B99" w:rsidRDefault="00605B99" w:rsidP="00605B99">
      <w:pPr>
        <w:jc w:val="center"/>
        <w:rPr>
          <w:rFonts w:ascii="DengXian" w:eastAsia="DengXian" w:hAnsi="DengXian"/>
          <w:b/>
          <w:bCs/>
          <w:sz w:val="28"/>
          <w:szCs w:val="28"/>
        </w:rPr>
      </w:pPr>
      <w:r>
        <w:rPr>
          <w:rFonts w:ascii="DengXian" w:eastAsia="DengXian" w:hAnsi="DengXian"/>
          <w:b/>
          <w:bCs/>
          <w:sz w:val="28"/>
          <w:szCs w:val="28"/>
        </w:rPr>
        <w:t>COMMENTAIRES SUR ETUDE D’IMPACT 1ERE ETAPE</w:t>
      </w:r>
    </w:p>
    <w:p w14:paraId="75053D52" w14:textId="77777777" w:rsidR="00605B99" w:rsidRDefault="00605B99" w:rsidP="00605B99">
      <w:pPr>
        <w:jc w:val="center"/>
        <w:rPr>
          <w:rFonts w:ascii="DengXian" w:eastAsia="DengXian" w:hAnsi="DengXian"/>
          <w:b/>
          <w:bCs/>
          <w:sz w:val="28"/>
          <w:szCs w:val="28"/>
          <w:u w:val="single"/>
        </w:rPr>
      </w:pPr>
      <w:r w:rsidRPr="00FC5477">
        <w:rPr>
          <w:rFonts w:ascii="DengXian" w:eastAsia="DengXian" w:hAnsi="DengXian"/>
          <w:b/>
          <w:bCs/>
          <w:sz w:val="28"/>
          <w:szCs w:val="28"/>
          <w:u w:val="single"/>
        </w:rPr>
        <w:t>RAPPORT DETAILLE</w:t>
      </w:r>
    </w:p>
    <w:p w14:paraId="650E614E" w14:textId="77777777" w:rsidR="00605B99" w:rsidRPr="00FC5477" w:rsidRDefault="00605B99" w:rsidP="00605B99">
      <w:pPr>
        <w:jc w:val="center"/>
        <w:rPr>
          <w:rFonts w:ascii="DengXian" w:eastAsia="DengXian" w:hAnsi="DengXian"/>
          <w:b/>
          <w:bCs/>
          <w:sz w:val="28"/>
          <w:szCs w:val="28"/>
          <w:u w:val="single"/>
        </w:rPr>
      </w:pPr>
    </w:p>
    <w:p w14:paraId="73B7EA8A" w14:textId="77777777" w:rsidR="00605B99" w:rsidRDefault="00605B99" w:rsidP="00605B99">
      <w:pPr>
        <w:jc w:val="both"/>
        <w:rPr>
          <w:rFonts w:ascii="DengXian" w:eastAsia="DengXian" w:hAnsi="DengXian"/>
          <w:b/>
          <w:bCs/>
          <w:sz w:val="28"/>
          <w:szCs w:val="28"/>
        </w:rPr>
      </w:pPr>
      <w:r>
        <w:rPr>
          <w:rFonts w:ascii="DengXian" w:eastAsia="DengXian" w:hAnsi="DengXian"/>
          <w:b/>
          <w:bCs/>
          <w:sz w:val="28"/>
          <w:szCs w:val="28"/>
        </w:rPr>
        <w:t>PROTECTION DE L’AIR ET DU CLIMAT</w:t>
      </w:r>
    </w:p>
    <w:p w14:paraId="71AD9DFA" w14:textId="3A7EBCA7" w:rsidR="00605B99" w:rsidRPr="00610130" w:rsidRDefault="00605B99" w:rsidP="00605B99">
      <w:pPr>
        <w:jc w:val="both"/>
        <w:rPr>
          <w:rFonts w:ascii="DengXian" w:eastAsia="DengXian" w:hAnsi="DengXian"/>
          <w:sz w:val="20"/>
          <w:szCs w:val="20"/>
        </w:rPr>
      </w:pPr>
      <w:r w:rsidRPr="00610130">
        <w:rPr>
          <w:rFonts w:ascii="DengXian" w:eastAsia="DengXian" w:hAnsi="DengXian"/>
          <w:sz w:val="20"/>
          <w:szCs w:val="20"/>
        </w:rPr>
        <w:t>L’étude d’impact (1</w:t>
      </w:r>
      <w:r w:rsidRPr="00610130">
        <w:rPr>
          <w:rFonts w:ascii="DengXian" w:eastAsia="DengXian" w:hAnsi="DengXian"/>
          <w:sz w:val="20"/>
          <w:szCs w:val="20"/>
          <w:vertAlign w:val="superscript"/>
        </w:rPr>
        <w:t>ère</w:t>
      </w:r>
      <w:r w:rsidRPr="00610130">
        <w:rPr>
          <w:rFonts w:ascii="DengXian" w:eastAsia="DengXian" w:hAnsi="DengXian"/>
          <w:sz w:val="20"/>
          <w:szCs w:val="20"/>
        </w:rPr>
        <w:t xml:space="preserve"> étape) devait permettre de dresser l’état initial des différents domaines de </w:t>
      </w:r>
      <w:r w:rsidRPr="00610130">
        <w:rPr>
          <w:rFonts w:ascii="DengXian" w:eastAsia="DengXian" w:hAnsi="DengXian"/>
          <w:b/>
          <w:bCs/>
          <w:sz w:val="20"/>
          <w:szCs w:val="20"/>
          <w:u w:val="single"/>
        </w:rPr>
        <w:t>l’environnement</w:t>
      </w:r>
      <w:r w:rsidRPr="00610130">
        <w:rPr>
          <w:rFonts w:ascii="DengXian" w:eastAsia="DengXian" w:hAnsi="DengXian"/>
          <w:sz w:val="20"/>
          <w:szCs w:val="20"/>
        </w:rPr>
        <w:t xml:space="preserve">, puis répertorier les impacts prévisibles et d’analyser leur importance. Pourtant, les données les plus importantes, c’est-à-dire les </w:t>
      </w:r>
      <w:proofErr w:type="spellStart"/>
      <w:r w:rsidRPr="00610130">
        <w:rPr>
          <w:rFonts w:ascii="DengXian" w:eastAsia="DengXian" w:hAnsi="DengXian"/>
          <w:sz w:val="20"/>
          <w:szCs w:val="20"/>
        </w:rPr>
        <w:t>immis</w:t>
      </w:r>
      <w:r w:rsidR="007826A3">
        <w:rPr>
          <w:rFonts w:ascii="DengXian" w:eastAsia="DengXian" w:hAnsi="DengXian"/>
          <w:sz w:val="20"/>
          <w:szCs w:val="20"/>
        </w:rPr>
        <w:t>s</w:t>
      </w:r>
      <w:r w:rsidRPr="00610130">
        <w:rPr>
          <w:rFonts w:ascii="DengXian" w:eastAsia="DengXian" w:hAnsi="DengXian"/>
          <w:sz w:val="20"/>
          <w:szCs w:val="20"/>
        </w:rPr>
        <w:t>ions</w:t>
      </w:r>
      <w:proofErr w:type="spellEnd"/>
      <w:r w:rsidRPr="00610130">
        <w:rPr>
          <w:rFonts w:ascii="DengXian" w:eastAsia="DengXian" w:hAnsi="DengXian"/>
          <w:sz w:val="20"/>
          <w:szCs w:val="20"/>
        </w:rPr>
        <w:t xml:space="preserve"> de gaz et de particules fines actuelles avant la mise en place de cette décharge sont brièvement mentionnés entre la page 30 et 35 (sur la base d’un dossier faisant presque 400 </w:t>
      </w:r>
      <w:proofErr w:type="gramStart"/>
      <w:r w:rsidRPr="00610130">
        <w:rPr>
          <w:rFonts w:ascii="DengXian" w:eastAsia="DengXian" w:hAnsi="DengXian"/>
          <w:sz w:val="20"/>
          <w:szCs w:val="20"/>
        </w:rPr>
        <w:t>pages!</w:t>
      </w:r>
      <w:proofErr w:type="gramEnd"/>
      <w:r w:rsidRPr="00610130">
        <w:rPr>
          <w:rFonts w:ascii="DengXian" w:eastAsia="DengXian" w:hAnsi="DengXian"/>
          <w:sz w:val="20"/>
          <w:szCs w:val="20"/>
        </w:rPr>
        <w:t xml:space="preserve">). Cette étude d’impact donne des informations </w:t>
      </w:r>
      <w:r w:rsidRPr="00610130">
        <w:rPr>
          <w:rFonts w:ascii="DengXian" w:eastAsia="DengXian" w:hAnsi="DengXian"/>
          <w:b/>
          <w:bCs/>
          <w:sz w:val="20"/>
          <w:szCs w:val="20"/>
          <w:u w:val="single"/>
        </w:rPr>
        <w:t>non exhaustives</w:t>
      </w:r>
      <w:r w:rsidRPr="00610130">
        <w:rPr>
          <w:rFonts w:ascii="DengXian" w:eastAsia="DengXian" w:hAnsi="DengXian"/>
          <w:sz w:val="20"/>
          <w:szCs w:val="20"/>
        </w:rPr>
        <w:t xml:space="preserve"> sur l’</w:t>
      </w:r>
      <w:proofErr w:type="spellStart"/>
      <w:r w:rsidRPr="00610130">
        <w:rPr>
          <w:rFonts w:ascii="DengXian" w:eastAsia="DengXian" w:hAnsi="DengXian"/>
          <w:sz w:val="20"/>
          <w:szCs w:val="20"/>
        </w:rPr>
        <w:t>etat</w:t>
      </w:r>
      <w:proofErr w:type="spellEnd"/>
      <w:r w:rsidRPr="00610130">
        <w:rPr>
          <w:rFonts w:ascii="DengXian" w:eastAsia="DengXian" w:hAnsi="DengXian"/>
          <w:sz w:val="20"/>
          <w:szCs w:val="20"/>
        </w:rPr>
        <w:t xml:space="preserve"> actuel de la pollution en général dans la région.</w:t>
      </w:r>
    </w:p>
    <w:p w14:paraId="2C9264C0" w14:textId="77777777" w:rsidR="00605B99" w:rsidRPr="00610130" w:rsidRDefault="00605B99" w:rsidP="00605B99">
      <w:pPr>
        <w:jc w:val="both"/>
        <w:rPr>
          <w:rFonts w:ascii="DengXian" w:eastAsia="DengXian" w:hAnsi="DengXian"/>
          <w:sz w:val="20"/>
          <w:szCs w:val="20"/>
        </w:rPr>
      </w:pPr>
      <w:r w:rsidRPr="00610130">
        <w:rPr>
          <w:rFonts w:ascii="DengXian" w:eastAsia="DengXian" w:hAnsi="DengXian"/>
          <w:sz w:val="20"/>
          <w:szCs w:val="20"/>
        </w:rPr>
        <w:t>Le</w:t>
      </w:r>
      <w:r>
        <w:rPr>
          <w:rFonts w:ascii="DengXian" w:eastAsia="DengXian" w:hAnsi="DengXian"/>
          <w:sz w:val="20"/>
          <w:szCs w:val="20"/>
        </w:rPr>
        <w:t>s</w:t>
      </w:r>
      <w:r w:rsidRPr="00610130">
        <w:rPr>
          <w:rFonts w:ascii="DengXian" w:eastAsia="DengXian" w:hAnsi="DengXian"/>
          <w:sz w:val="20"/>
          <w:szCs w:val="20"/>
        </w:rPr>
        <w:t xml:space="preserve"> porteur</w:t>
      </w:r>
      <w:r>
        <w:rPr>
          <w:rFonts w:ascii="DengXian" w:eastAsia="DengXian" w:hAnsi="DengXian"/>
          <w:sz w:val="20"/>
          <w:szCs w:val="20"/>
        </w:rPr>
        <w:t>s</w:t>
      </w:r>
      <w:r w:rsidRPr="00610130">
        <w:rPr>
          <w:rFonts w:ascii="DengXian" w:eastAsia="DengXian" w:hAnsi="DengXian"/>
          <w:sz w:val="20"/>
          <w:szCs w:val="20"/>
        </w:rPr>
        <w:t xml:space="preserve"> du projet peu</w:t>
      </w:r>
      <w:r>
        <w:rPr>
          <w:rFonts w:ascii="DengXian" w:eastAsia="DengXian" w:hAnsi="DengXian"/>
          <w:sz w:val="20"/>
          <w:szCs w:val="20"/>
        </w:rPr>
        <w:t>ven</w:t>
      </w:r>
      <w:r w:rsidRPr="00610130">
        <w:rPr>
          <w:rFonts w:ascii="DengXian" w:eastAsia="DengXian" w:hAnsi="DengXian"/>
          <w:sz w:val="20"/>
          <w:szCs w:val="20"/>
        </w:rPr>
        <w:t>t bien entendu arguer que ces points seront abordés en détail sur « l’étude d’impact 2</w:t>
      </w:r>
      <w:r w:rsidRPr="00610130">
        <w:rPr>
          <w:rFonts w:ascii="DengXian" w:eastAsia="DengXian" w:hAnsi="DengXian"/>
          <w:sz w:val="20"/>
          <w:szCs w:val="20"/>
          <w:vertAlign w:val="superscript"/>
        </w:rPr>
        <w:t>ème</w:t>
      </w:r>
      <w:r w:rsidRPr="00610130">
        <w:rPr>
          <w:rFonts w:ascii="DengXian" w:eastAsia="DengXian" w:hAnsi="DengXian"/>
          <w:sz w:val="20"/>
          <w:szCs w:val="20"/>
        </w:rPr>
        <w:t xml:space="preserve"> étape », cependant, cette seconde phase sera en principe accompagnée d’une demande définitive de construire et d’aménager !</w:t>
      </w:r>
    </w:p>
    <w:p w14:paraId="072FE701" w14:textId="5614CF91" w:rsidR="00605B99" w:rsidRDefault="00605B99" w:rsidP="00605B99">
      <w:pPr>
        <w:jc w:val="both"/>
        <w:rPr>
          <w:rFonts w:ascii="DengXian" w:eastAsia="DengXian" w:hAnsi="DengXian"/>
          <w:sz w:val="20"/>
          <w:szCs w:val="20"/>
        </w:rPr>
      </w:pPr>
      <w:r w:rsidRPr="00610130">
        <w:rPr>
          <w:rFonts w:ascii="DengXian" w:eastAsia="DengXian" w:hAnsi="DengXian"/>
          <w:sz w:val="20"/>
          <w:szCs w:val="20"/>
        </w:rPr>
        <w:t>C’est pourquoi et bien que nous ne sommes pas spécifiquement du métier, nous avons dû rassembler un certain nombre de données afin d</w:t>
      </w:r>
      <w:r>
        <w:rPr>
          <w:rFonts w:ascii="DengXian" w:eastAsia="DengXian" w:hAnsi="DengXian"/>
          <w:sz w:val="20"/>
          <w:szCs w:val="20"/>
        </w:rPr>
        <w:t xml:space="preserve">’estimer </w:t>
      </w:r>
      <w:r w:rsidRPr="00610130">
        <w:rPr>
          <w:rFonts w:ascii="DengXian" w:eastAsia="DengXian" w:hAnsi="DengXian"/>
          <w:sz w:val="20"/>
          <w:szCs w:val="20"/>
        </w:rPr>
        <w:t>les valeurs réelles d’</w:t>
      </w:r>
      <w:proofErr w:type="spellStart"/>
      <w:r w:rsidRPr="00610130">
        <w:rPr>
          <w:rFonts w:ascii="DengXian" w:eastAsia="DengXian" w:hAnsi="DengXian"/>
          <w:sz w:val="20"/>
          <w:szCs w:val="20"/>
        </w:rPr>
        <w:t>immis</w:t>
      </w:r>
      <w:r w:rsidR="007826A3">
        <w:rPr>
          <w:rFonts w:ascii="DengXian" w:eastAsia="DengXian" w:hAnsi="DengXian"/>
          <w:sz w:val="20"/>
          <w:szCs w:val="20"/>
        </w:rPr>
        <w:t>s</w:t>
      </w:r>
      <w:bookmarkStart w:id="0" w:name="_GoBack"/>
      <w:bookmarkEnd w:id="0"/>
      <w:r w:rsidRPr="00610130">
        <w:rPr>
          <w:rFonts w:ascii="DengXian" w:eastAsia="DengXian" w:hAnsi="DengXian"/>
          <w:sz w:val="20"/>
          <w:szCs w:val="20"/>
        </w:rPr>
        <w:t>ions</w:t>
      </w:r>
      <w:proofErr w:type="spellEnd"/>
      <w:r w:rsidRPr="00610130">
        <w:rPr>
          <w:rFonts w:ascii="DengXian" w:eastAsia="DengXian" w:hAnsi="DengXian"/>
          <w:sz w:val="20"/>
          <w:szCs w:val="20"/>
        </w:rPr>
        <w:t xml:space="preserve"> dans notre région.</w:t>
      </w:r>
    </w:p>
    <w:p w14:paraId="53BDCF41" w14:textId="77777777" w:rsidR="00605B99" w:rsidRPr="00610130" w:rsidRDefault="00605B99" w:rsidP="00605B99">
      <w:pPr>
        <w:jc w:val="both"/>
        <w:rPr>
          <w:rFonts w:ascii="DengXian" w:eastAsia="DengXian" w:hAnsi="DengXian"/>
          <w:sz w:val="20"/>
          <w:szCs w:val="20"/>
        </w:rPr>
      </w:pPr>
      <w:r>
        <w:rPr>
          <w:rFonts w:ascii="DengXian" w:eastAsia="DengXian" w:hAnsi="DengXian"/>
          <w:sz w:val="20"/>
          <w:szCs w:val="20"/>
        </w:rPr>
        <w:t xml:space="preserve">Par ailleurs, nous vous informons que des capteurs privés ont été placés dans 4 habitations afin de démontrer les variations entre les valeurs avant la décharge et après la décharge. </w:t>
      </w:r>
    </w:p>
    <w:p w14:paraId="33C4CBCD" w14:textId="77777777" w:rsidR="00605B99" w:rsidRPr="00721D24" w:rsidRDefault="00605B99" w:rsidP="00605B99">
      <w:pPr>
        <w:rPr>
          <w:rFonts w:ascii="DengXian" w:eastAsia="DengXian" w:hAnsi="DengXian"/>
          <w:b/>
          <w:bCs/>
          <w:sz w:val="20"/>
          <w:szCs w:val="20"/>
        </w:rPr>
      </w:pPr>
      <w:r w:rsidRPr="00721D24">
        <w:rPr>
          <w:rFonts w:ascii="DengXian" w:eastAsia="DengXian" w:hAnsi="DengXian"/>
          <w:b/>
          <w:bCs/>
          <w:sz w:val="20"/>
          <w:szCs w:val="20"/>
        </w:rPr>
        <w:t xml:space="preserve">Procédé pour le recueil des valeurs/informations </w:t>
      </w:r>
    </w:p>
    <w:p w14:paraId="1FCB537D" w14:textId="77777777" w:rsidR="00605B99" w:rsidRPr="008971DD" w:rsidRDefault="00605B99" w:rsidP="00605B99">
      <w:pPr>
        <w:jc w:val="both"/>
        <w:rPr>
          <w:rFonts w:ascii="DengXian" w:eastAsia="DengXian" w:hAnsi="DengXian"/>
          <w:sz w:val="20"/>
          <w:szCs w:val="20"/>
        </w:rPr>
      </w:pPr>
      <w:r w:rsidRPr="008971DD">
        <w:rPr>
          <w:rFonts w:ascii="DengXian" w:eastAsia="DengXian" w:hAnsi="DengXian"/>
          <w:sz w:val="20"/>
          <w:szCs w:val="20"/>
        </w:rPr>
        <w:t xml:space="preserve">Le service de l’air, du bruit et des rayonnements non ionisants du canton de Genève nous donne des informations concernant les stations de contrôle de l’air situés à Necker (centre-ville), Foron (Thônex), </w:t>
      </w:r>
      <w:proofErr w:type="spellStart"/>
      <w:r w:rsidRPr="008971DD">
        <w:rPr>
          <w:rFonts w:ascii="DengXian" w:eastAsia="DengXian" w:hAnsi="DengXian"/>
          <w:sz w:val="20"/>
          <w:szCs w:val="20"/>
        </w:rPr>
        <w:t>Passeiry</w:t>
      </w:r>
      <w:proofErr w:type="spellEnd"/>
      <w:r w:rsidRPr="008971DD">
        <w:rPr>
          <w:rFonts w:ascii="DengXian" w:eastAsia="DengXian" w:hAnsi="DengXian"/>
          <w:sz w:val="20"/>
          <w:szCs w:val="20"/>
        </w:rPr>
        <w:t xml:space="preserve"> (</w:t>
      </w:r>
      <w:proofErr w:type="spellStart"/>
      <w:r w:rsidRPr="008971DD">
        <w:rPr>
          <w:rFonts w:ascii="DengXian" w:eastAsia="DengXian" w:hAnsi="DengXian"/>
          <w:sz w:val="20"/>
          <w:szCs w:val="20"/>
        </w:rPr>
        <w:t>Chancy</w:t>
      </w:r>
      <w:proofErr w:type="spellEnd"/>
      <w:r w:rsidRPr="008971DD">
        <w:rPr>
          <w:rFonts w:ascii="DengXian" w:eastAsia="DengXian" w:hAnsi="DengXian"/>
          <w:sz w:val="20"/>
          <w:szCs w:val="20"/>
        </w:rPr>
        <w:t>) et Meyrin sous forme de rapports appelés « qualité de l’air ». Le dernier rapport disponible à l’heure actuelle couvre</w:t>
      </w:r>
      <w:r>
        <w:rPr>
          <w:rFonts w:ascii="DengXian" w:eastAsia="DengXian" w:hAnsi="DengXian"/>
          <w:sz w:val="20"/>
          <w:szCs w:val="20"/>
        </w:rPr>
        <w:t xml:space="preserve"> uniquement</w:t>
      </w:r>
      <w:r w:rsidRPr="008971DD">
        <w:rPr>
          <w:rFonts w:ascii="DengXian" w:eastAsia="DengXian" w:hAnsi="DengXian"/>
          <w:sz w:val="20"/>
          <w:szCs w:val="20"/>
        </w:rPr>
        <w:t xml:space="preserve"> la période 2018. </w:t>
      </w:r>
    </w:p>
    <w:p w14:paraId="564E97FC" w14:textId="77777777" w:rsidR="00605B99" w:rsidRPr="009D7ECD" w:rsidRDefault="00605B99" w:rsidP="00605B99">
      <w:pPr>
        <w:jc w:val="both"/>
        <w:rPr>
          <w:rFonts w:ascii="DengXian" w:eastAsia="DengXian" w:hAnsi="DengXian"/>
          <w:sz w:val="20"/>
          <w:szCs w:val="20"/>
        </w:rPr>
      </w:pPr>
      <w:r>
        <w:rPr>
          <w:noProof/>
        </w:rPr>
        <w:lastRenderedPageBreak/>
        <w:drawing>
          <wp:anchor distT="0" distB="0" distL="114300" distR="114300" simplePos="0" relativeHeight="251659264" behindDoc="0" locked="0" layoutInCell="1" allowOverlap="1" wp14:anchorId="5405F3AA" wp14:editId="0361A82A">
            <wp:simplePos x="0" y="0"/>
            <wp:positionH relativeFrom="margin">
              <wp:align>right</wp:align>
            </wp:positionH>
            <wp:positionV relativeFrom="paragraph">
              <wp:posOffset>111010</wp:posOffset>
            </wp:positionV>
            <wp:extent cx="1899285" cy="3886200"/>
            <wp:effectExtent l="0" t="0" r="5715"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899285" cy="3886200"/>
                    </a:xfrm>
                    <a:prstGeom prst="rect">
                      <a:avLst/>
                    </a:prstGeom>
                  </pic:spPr>
                </pic:pic>
              </a:graphicData>
            </a:graphic>
            <wp14:sizeRelH relativeFrom="margin">
              <wp14:pctWidth>0</wp14:pctWidth>
            </wp14:sizeRelH>
            <wp14:sizeRelV relativeFrom="margin">
              <wp14:pctHeight>0</wp14:pctHeight>
            </wp14:sizeRelV>
          </wp:anchor>
        </w:drawing>
      </w:r>
      <w:r w:rsidRPr="009D7ECD">
        <w:rPr>
          <w:rFonts w:ascii="DengXian" w:eastAsia="DengXian" w:hAnsi="DengXian"/>
          <w:sz w:val="20"/>
          <w:szCs w:val="20"/>
        </w:rPr>
        <w:t xml:space="preserve">Il existe aussi une station de contrôle de l’air avec des données disponibles au public sur le terrain de l’aéroport de Genève (à environ 1 km du lieu de décharge). Le rapport relatif à cette station est englobé dans le rapport de développement durable (qui tient compte de différents capteurs dans la zone aéroportuaire) émis par l’aéroport de Genève. </w:t>
      </w:r>
    </w:p>
    <w:p w14:paraId="20297385" w14:textId="77777777" w:rsidR="00605B99" w:rsidRDefault="00605B99" w:rsidP="00605B99">
      <w:pPr>
        <w:jc w:val="both"/>
        <w:rPr>
          <w:rFonts w:ascii="DengXian" w:eastAsia="DengXian" w:hAnsi="DengXian"/>
          <w:sz w:val="20"/>
          <w:szCs w:val="20"/>
        </w:rPr>
      </w:pPr>
      <w:r w:rsidRPr="008971DD">
        <w:rPr>
          <w:rFonts w:ascii="DengXian" w:eastAsia="DengXian" w:hAnsi="DengXian"/>
          <w:sz w:val="20"/>
          <w:szCs w:val="20"/>
        </w:rPr>
        <w:t xml:space="preserve">Afin de mettre en relation les informations disponibles sur le rapport d’impact sur l’environnement (1ere étape) du projet de plan de zone de décharge PDZ01-2016 et des données officielles sur les </w:t>
      </w:r>
      <w:proofErr w:type="spellStart"/>
      <w:r w:rsidRPr="008971DD">
        <w:rPr>
          <w:rFonts w:ascii="DengXian" w:eastAsia="DengXian" w:hAnsi="DengXian"/>
          <w:sz w:val="20"/>
          <w:szCs w:val="20"/>
        </w:rPr>
        <w:t>immisions</w:t>
      </w:r>
      <w:proofErr w:type="spellEnd"/>
      <w:r w:rsidRPr="008971DD">
        <w:rPr>
          <w:rFonts w:ascii="DengXian" w:eastAsia="DengXian" w:hAnsi="DengXian"/>
          <w:sz w:val="20"/>
          <w:szCs w:val="20"/>
        </w:rPr>
        <w:t xml:space="preserve"> de gaz et de poussières fines, nous nous sommes, dès lors, basés sur les informations disponibles sur le rapport de qualité de l’air 2018 </w:t>
      </w:r>
      <w:r>
        <w:rPr>
          <w:rFonts w:ascii="DengXian" w:eastAsia="DengXian" w:hAnsi="DengXian"/>
          <w:sz w:val="20"/>
          <w:szCs w:val="20"/>
        </w:rPr>
        <w:t xml:space="preserve">ainsi que sur le </w:t>
      </w:r>
      <w:r w:rsidRPr="008971DD">
        <w:rPr>
          <w:rFonts w:ascii="DengXian" w:eastAsia="DengXian" w:hAnsi="DengXian"/>
          <w:sz w:val="20"/>
          <w:szCs w:val="20"/>
        </w:rPr>
        <w:t>rapport de développement durable 2016-2018 mentionnés ci-dessus.</w:t>
      </w:r>
    </w:p>
    <w:p w14:paraId="7141680A" w14:textId="77777777" w:rsidR="00605B99" w:rsidRPr="008971DD" w:rsidRDefault="00605B99" w:rsidP="00605B99">
      <w:pPr>
        <w:jc w:val="both"/>
        <w:rPr>
          <w:rFonts w:ascii="DengXian" w:eastAsia="DengXian" w:hAnsi="DengXian"/>
          <w:sz w:val="20"/>
          <w:szCs w:val="20"/>
        </w:rPr>
      </w:pPr>
      <w:r w:rsidRPr="008971DD">
        <w:rPr>
          <w:rFonts w:ascii="DengXian" w:eastAsia="DengXian" w:hAnsi="DengXian"/>
          <w:sz w:val="20"/>
          <w:szCs w:val="20"/>
        </w:rPr>
        <w:t xml:space="preserve">Par ailleurs, nous avons obtenu des valeurs mensuelles pour l’année 2018 sur les </w:t>
      </w:r>
      <w:proofErr w:type="spellStart"/>
      <w:r w:rsidRPr="008971DD">
        <w:rPr>
          <w:rFonts w:ascii="DengXian" w:eastAsia="DengXian" w:hAnsi="DengXian"/>
          <w:sz w:val="20"/>
          <w:szCs w:val="20"/>
        </w:rPr>
        <w:t>immissions</w:t>
      </w:r>
      <w:proofErr w:type="spellEnd"/>
      <w:r w:rsidRPr="008971DD">
        <w:rPr>
          <w:rFonts w:ascii="DengXian" w:eastAsia="DengXian" w:hAnsi="DengXian"/>
          <w:sz w:val="20"/>
          <w:szCs w:val="20"/>
        </w:rPr>
        <w:t xml:space="preserve"> du dioxyde d’azote (NO2), des poussières en suspension (PM10) et du dioxyde de soufre (SO2) pour les différents sites exposés dans les rapports de l’Etat de Genève et l’aéroport de Genève (Necker, Foron, </w:t>
      </w:r>
      <w:proofErr w:type="spellStart"/>
      <w:r w:rsidRPr="008971DD">
        <w:rPr>
          <w:rFonts w:ascii="DengXian" w:eastAsia="DengXian" w:hAnsi="DengXian"/>
          <w:sz w:val="20"/>
          <w:szCs w:val="20"/>
        </w:rPr>
        <w:t>Passeiry</w:t>
      </w:r>
      <w:proofErr w:type="spellEnd"/>
      <w:r w:rsidRPr="008971DD">
        <w:rPr>
          <w:rFonts w:ascii="DengXian" w:eastAsia="DengXian" w:hAnsi="DengXian"/>
          <w:sz w:val="20"/>
          <w:szCs w:val="20"/>
        </w:rPr>
        <w:t xml:space="preserve">, Meyrin et Aéroport de Genève). Ces données ont été recueillies via le site </w:t>
      </w:r>
      <w:r w:rsidRPr="008971DD">
        <w:rPr>
          <w:rFonts w:ascii="DengXian" w:eastAsia="DengXian" w:hAnsi="DengXian"/>
          <w:color w:val="4472C4" w:themeColor="accent1"/>
          <w:sz w:val="20"/>
          <w:szCs w:val="20"/>
          <w:u w:val="single"/>
        </w:rPr>
        <w:t>http ://www.transalpair.eu</w:t>
      </w:r>
      <w:r w:rsidRPr="008971DD">
        <w:rPr>
          <w:rFonts w:ascii="DengXian" w:eastAsia="DengXian" w:hAnsi="DengXian"/>
          <w:color w:val="4472C4" w:themeColor="accent1"/>
          <w:sz w:val="20"/>
          <w:szCs w:val="20"/>
        </w:rPr>
        <w:t xml:space="preserve"> </w:t>
      </w:r>
      <w:r w:rsidRPr="008971DD">
        <w:rPr>
          <w:rFonts w:ascii="DengXian" w:eastAsia="DengXian" w:hAnsi="DengXian"/>
          <w:sz w:val="20"/>
          <w:szCs w:val="20"/>
        </w:rPr>
        <w:t>(site pour la collaboration transfrontalière de surveillance de la qualité de l’air).</w:t>
      </w:r>
    </w:p>
    <w:p w14:paraId="754146B5" w14:textId="77777777" w:rsidR="00605B99" w:rsidRDefault="00605B99" w:rsidP="00605B99">
      <w:pPr>
        <w:jc w:val="both"/>
        <w:rPr>
          <w:rFonts w:ascii="DengXian" w:eastAsia="DengXian" w:hAnsi="DengXian"/>
          <w:sz w:val="20"/>
          <w:szCs w:val="20"/>
        </w:rPr>
      </w:pPr>
      <w:r w:rsidRPr="008971DD">
        <w:rPr>
          <w:rFonts w:ascii="DengXian" w:eastAsia="DengXian" w:hAnsi="DengXian"/>
          <w:sz w:val="20"/>
          <w:szCs w:val="20"/>
        </w:rPr>
        <w:t>Par sa proximité de notre région (</w:t>
      </w:r>
      <w:r>
        <w:rPr>
          <w:rFonts w:ascii="DengXian" w:eastAsia="DengXian" w:hAnsi="DengXian"/>
          <w:sz w:val="20"/>
          <w:szCs w:val="20"/>
        </w:rPr>
        <w:t xml:space="preserve">la station se trouve </w:t>
      </w:r>
      <w:r w:rsidRPr="008971DD">
        <w:rPr>
          <w:rFonts w:ascii="DengXian" w:eastAsia="DengXian" w:hAnsi="DengXian"/>
          <w:sz w:val="20"/>
          <w:szCs w:val="20"/>
        </w:rPr>
        <w:t>à environ 1,5km de nos habitations) et par ses caractéristiques (proximité de l’autoroute, à 500 mètres), notre analyse s’est concentrée sur les mesures réalisés près de l’aéroport de Genève. A</w:t>
      </w:r>
      <w:r>
        <w:rPr>
          <w:rFonts w:ascii="DengXian" w:eastAsia="DengXian" w:hAnsi="DengXian"/>
          <w:sz w:val="20"/>
          <w:szCs w:val="20"/>
        </w:rPr>
        <w:t xml:space="preserve"> ce propos, </w:t>
      </w:r>
      <w:r w:rsidRPr="008971DD">
        <w:rPr>
          <w:rFonts w:ascii="DengXian" w:eastAsia="DengXian" w:hAnsi="DengXian"/>
          <w:sz w:val="20"/>
          <w:szCs w:val="20"/>
        </w:rPr>
        <w:t xml:space="preserve">nous constatons qu’il s’agit d’une mesure tenant en compte </w:t>
      </w:r>
      <w:r>
        <w:rPr>
          <w:rFonts w:ascii="DengXian" w:eastAsia="DengXian" w:hAnsi="DengXian"/>
          <w:sz w:val="20"/>
          <w:szCs w:val="20"/>
        </w:rPr>
        <w:t>aussi</w:t>
      </w:r>
      <w:r w:rsidRPr="008971DD">
        <w:rPr>
          <w:rFonts w:ascii="DengXian" w:eastAsia="DengXian" w:hAnsi="DengXian"/>
          <w:sz w:val="20"/>
          <w:szCs w:val="20"/>
        </w:rPr>
        <w:t xml:space="preserve"> de la proximité du trafic autoroutier, il ne s’agît pas d’une mesure se trouvant dans la zone la plus touché</w:t>
      </w:r>
      <w:r>
        <w:rPr>
          <w:rFonts w:ascii="DengXian" w:eastAsia="DengXian" w:hAnsi="DengXian"/>
          <w:sz w:val="20"/>
          <w:szCs w:val="20"/>
        </w:rPr>
        <w:t>e</w:t>
      </w:r>
      <w:r w:rsidRPr="008971DD">
        <w:rPr>
          <w:rFonts w:ascii="DengXian" w:eastAsia="DengXian" w:hAnsi="DengXian"/>
          <w:sz w:val="20"/>
          <w:szCs w:val="20"/>
        </w:rPr>
        <w:t xml:space="preserve"> par la pollution liée aux trafic aérien. D’ailleurs, nous verrons que les moyennes mensuelles des valeurs d’</w:t>
      </w:r>
      <w:proofErr w:type="spellStart"/>
      <w:r w:rsidRPr="008971DD">
        <w:rPr>
          <w:rFonts w:ascii="DengXian" w:eastAsia="DengXian" w:hAnsi="DengXian"/>
          <w:sz w:val="20"/>
          <w:szCs w:val="20"/>
        </w:rPr>
        <w:t>immission</w:t>
      </w:r>
      <w:proofErr w:type="spellEnd"/>
      <w:r>
        <w:rPr>
          <w:rFonts w:ascii="DengXian" w:eastAsia="DengXian" w:hAnsi="DengXian"/>
          <w:sz w:val="20"/>
          <w:szCs w:val="20"/>
        </w:rPr>
        <w:t xml:space="preserve"> que nous vous exposerons </w:t>
      </w:r>
      <w:r w:rsidRPr="008971DD">
        <w:rPr>
          <w:rFonts w:ascii="DengXian" w:eastAsia="DengXian" w:hAnsi="DengXian"/>
          <w:sz w:val="20"/>
          <w:szCs w:val="20"/>
        </w:rPr>
        <w:t xml:space="preserve">diminuent fortement en période estivale (entre juin, juillet et août) car le trafic autoroutier diminue </w:t>
      </w:r>
      <w:r>
        <w:rPr>
          <w:rFonts w:ascii="DengXian" w:eastAsia="DengXian" w:hAnsi="DengXian"/>
          <w:sz w:val="20"/>
          <w:szCs w:val="20"/>
        </w:rPr>
        <w:t xml:space="preserve">aussi </w:t>
      </w:r>
      <w:r w:rsidRPr="008971DD">
        <w:rPr>
          <w:rFonts w:ascii="DengXian" w:eastAsia="DengXian" w:hAnsi="DengXian"/>
          <w:sz w:val="20"/>
          <w:szCs w:val="20"/>
        </w:rPr>
        <w:t>pendant ces périodes.</w:t>
      </w:r>
    </w:p>
    <w:p w14:paraId="6442905A" w14:textId="77777777" w:rsidR="00605B99" w:rsidRDefault="00605B99" w:rsidP="00605B99">
      <w:pPr>
        <w:jc w:val="both"/>
        <w:rPr>
          <w:rFonts w:ascii="DengXian" w:eastAsia="DengXian" w:hAnsi="DengXian"/>
          <w:sz w:val="20"/>
          <w:szCs w:val="20"/>
        </w:rPr>
      </w:pPr>
      <w:r>
        <w:rPr>
          <w:rFonts w:ascii="DengXian" w:eastAsia="DengXian" w:hAnsi="DengXian"/>
          <w:sz w:val="20"/>
          <w:szCs w:val="20"/>
        </w:rPr>
        <w:t>De plus, les valeurs que nous vous exposerons sont inférieures à celles publiés par l’aéroport de Genève (rapport de développement durable 2016-2018) :</w:t>
      </w:r>
    </w:p>
    <w:p w14:paraId="68A8BD9C" w14:textId="77777777" w:rsidR="00605B99" w:rsidRDefault="00605B99" w:rsidP="00605B99">
      <w:pPr>
        <w:jc w:val="both"/>
        <w:rPr>
          <w:rFonts w:ascii="DengXian" w:eastAsia="DengXian" w:hAnsi="DengXian"/>
          <w:sz w:val="20"/>
          <w:szCs w:val="20"/>
        </w:rPr>
      </w:pPr>
    </w:p>
    <w:p w14:paraId="2C7EFF9C" w14:textId="77777777" w:rsidR="00605B99" w:rsidRDefault="00605B99" w:rsidP="00605B99">
      <w:pPr>
        <w:jc w:val="both"/>
        <w:rPr>
          <w:rFonts w:ascii="DengXian" w:eastAsia="DengXian" w:hAnsi="DengXian"/>
          <w:sz w:val="20"/>
          <w:szCs w:val="20"/>
        </w:rPr>
      </w:pPr>
      <w:r>
        <w:rPr>
          <w:noProof/>
        </w:rPr>
        <w:drawing>
          <wp:inline distT="0" distB="0" distL="0" distR="0" wp14:anchorId="547D10D9" wp14:editId="5CFC3A82">
            <wp:extent cx="5759450" cy="283845"/>
            <wp:effectExtent l="0" t="0" r="0" b="190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283845"/>
                    </a:xfrm>
                    <a:prstGeom prst="rect">
                      <a:avLst/>
                    </a:prstGeom>
                  </pic:spPr>
                </pic:pic>
              </a:graphicData>
            </a:graphic>
          </wp:inline>
        </w:drawing>
      </w:r>
    </w:p>
    <w:p w14:paraId="1F20D9C4" w14:textId="77777777" w:rsidR="00605B99" w:rsidRDefault="00605B99" w:rsidP="00605B99">
      <w:pPr>
        <w:jc w:val="both"/>
        <w:rPr>
          <w:rFonts w:ascii="DengXian" w:eastAsia="DengXian" w:hAnsi="DengXian"/>
          <w:sz w:val="20"/>
          <w:szCs w:val="20"/>
        </w:rPr>
      </w:pPr>
      <w:r>
        <w:rPr>
          <w:noProof/>
        </w:rPr>
        <w:drawing>
          <wp:inline distT="0" distB="0" distL="0" distR="0" wp14:anchorId="535D79B9" wp14:editId="441388A5">
            <wp:extent cx="5759450" cy="114681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1146810"/>
                    </a:xfrm>
                    <a:prstGeom prst="rect">
                      <a:avLst/>
                    </a:prstGeom>
                  </pic:spPr>
                </pic:pic>
              </a:graphicData>
            </a:graphic>
          </wp:inline>
        </w:drawing>
      </w:r>
    </w:p>
    <w:p w14:paraId="4A4F02BA" w14:textId="77777777" w:rsidR="00605B99" w:rsidRDefault="00605B99" w:rsidP="00605B99">
      <w:pPr>
        <w:rPr>
          <w:rFonts w:ascii="DengXian" w:eastAsia="DengXian" w:hAnsi="DengXian"/>
          <w:b/>
          <w:bCs/>
        </w:rPr>
      </w:pPr>
    </w:p>
    <w:p w14:paraId="54288132" w14:textId="77777777" w:rsidR="001E2416" w:rsidRDefault="001E2416" w:rsidP="00605B99">
      <w:pPr>
        <w:rPr>
          <w:rFonts w:ascii="DengXian" w:eastAsia="DengXian" w:hAnsi="DengXian"/>
          <w:b/>
          <w:bCs/>
        </w:rPr>
      </w:pPr>
    </w:p>
    <w:p w14:paraId="30F13D06" w14:textId="77777777" w:rsidR="001E2416" w:rsidRDefault="001E2416" w:rsidP="00605B99">
      <w:pPr>
        <w:rPr>
          <w:rFonts w:ascii="DengXian" w:eastAsia="DengXian" w:hAnsi="DengXian"/>
          <w:b/>
          <w:bCs/>
        </w:rPr>
      </w:pPr>
    </w:p>
    <w:p w14:paraId="31BECB33" w14:textId="77777777" w:rsidR="00605B99" w:rsidRPr="002810FC" w:rsidRDefault="00605B99" w:rsidP="00605B99">
      <w:pPr>
        <w:rPr>
          <w:rFonts w:ascii="DengXian" w:eastAsia="DengXian" w:hAnsi="DengXian"/>
          <w:b/>
          <w:bCs/>
        </w:rPr>
      </w:pPr>
      <w:r w:rsidRPr="00F10681">
        <w:rPr>
          <w:rFonts w:ascii="DengXian" w:eastAsia="DengXian" w:hAnsi="DengXian"/>
          <w:b/>
          <w:bCs/>
        </w:rPr>
        <w:lastRenderedPageBreak/>
        <w:t>LE DIOXYDE D’AZOTE</w:t>
      </w:r>
      <w:r>
        <w:rPr>
          <w:rFonts w:ascii="DengXian" w:eastAsia="DengXian" w:hAnsi="DengXian"/>
          <w:b/>
          <w:bCs/>
        </w:rPr>
        <w:t xml:space="preserve"> (NO2)</w:t>
      </w:r>
    </w:p>
    <w:p w14:paraId="7F8629F5" w14:textId="77777777" w:rsidR="00605B99" w:rsidRDefault="00605B99" w:rsidP="00605B99">
      <w:pPr>
        <w:jc w:val="both"/>
        <w:rPr>
          <w:rFonts w:ascii="DengXian" w:eastAsia="DengXian" w:hAnsi="DengXian"/>
          <w:sz w:val="20"/>
          <w:szCs w:val="20"/>
        </w:rPr>
      </w:pPr>
      <w:r w:rsidRPr="008971DD">
        <w:rPr>
          <w:rFonts w:ascii="DengXian" w:eastAsia="DengXian" w:hAnsi="DengXian"/>
          <w:sz w:val="20"/>
          <w:szCs w:val="20"/>
        </w:rPr>
        <w:t xml:space="preserve">Selon le rapport de la qualité de l’air 2018 publié par le service de l’air, du bruit et des rayonnements non ionisants à </w:t>
      </w:r>
      <w:proofErr w:type="gramStart"/>
      <w:r w:rsidRPr="008971DD">
        <w:rPr>
          <w:rFonts w:ascii="DengXian" w:eastAsia="DengXian" w:hAnsi="DengXian"/>
          <w:sz w:val="20"/>
          <w:szCs w:val="20"/>
        </w:rPr>
        <w:t>Genève ,</w:t>
      </w:r>
      <w:proofErr w:type="gramEnd"/>
      <w:r w:rsidRPr="008971DD">
        <w:rPr>
          <w:rFonts w:ascii="DengXian" w:eastAsia="DengXian" w:hAnsi="DengXian"/>
          <w:sz w:val="20"/>
          <w:szCs w:val="20"/>
        </w:rPr>
        <w:t xml:space="preserve"> </w:t>
      </w:r>
      <w:r>
        <w:rPr>
          <w:rFonts w:ascii="DengXian" w:eastAsia="DengXian" w:hAnsi="DengXian"/>
          <w:sz w:val="20"/>
          <w:szCs w:val="20"/>
        </w:rPr>
        <w:t>voici l</w:t>
      </w:r>
      <w:r w:rsidRPr="008971DD">
        <w:rPr>
          <w:rFonts w:ascii="DengXian" w:eastAsia="DengXian" w:hAnsi="DengXian"/>
          <w:sz w:val="20"/>
          <w:szCs w:val="20"/>
        </w:rPr>
        <w:t>es caractéristiques ainsi que les effets nocifs sur la santé dû à une exposition au dioxyde d’azote :</w:t>
      </w:r>
    </w:p>
    <w:p w14:paraId="59049251" w14:textId="77777777" w:rsidR="00605B99" w:rsidRPr="001A7623" w:rsidRDefault="00605B99" w:rsidP="00605B99">
      <w:pPr>
        <w:jc w:val="center"/>
        <w:rPr>
          <w:rFonts w:ascii="DengXian" w:eastAsia="DengXian" w:hAnsi="DengXian"/>
          <w:b/>
          <w:bCs/>
          <w:sz w:val="20"/>
          <w:szCs w:val="20"/>
          <w:u w:val="single"/>
        </w:rPr>
      </w:pPr>
      <w:r w:rsidRPr="001A7623">
        <w:rPr>
          <w:rFonts w:ascii="DengXian" w:eastAsia="DengXian" w:hAnsi="DengXian"/>
          <w:b/>
          <w:bCs/>
          <w:sz w:val="20"/>
          <w:szCs w:val="20"/>
          <w:u w:val="single"/>
        </w:rPr>
        <w:t>Extrait du rapport de qualité de l’air 2018</w:t>
      </w:r>
    </w:p>
    <w:p w14:paraId="1F6E0013" w14:textId="77777777" w:rsidR="00605B99" w:rsidRDefault="00605B99" w:rsidP="00605B99">
      <w:pPr>
        <w:jc w:val="center"/>
      </w:pPr>
      <w:r>
        <w:rPr>
          <w:noProof/>
        </w:rPr>
        <w:drawing>
          <wp:inline distT="0" distB="0" distL="0" distR="0" wp14:anchorId="3C6E04FF" wp14:editId="63C2896B">
            <wp:extent cx="5391150" cy="2562225"/>
            <wp:effectExtent l="0" t="0" r="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4033" cy="2568348"/>
                    </a:xfrm>
                    <a:prstGeom prst="rect">
                      <a:avLst/>
                    </a:prstGeom>
                  </pic:spPr>
                </pic:pic>
              </a:graphicData>
            </a:graphic>
          </wp:inline>
        </w:drawing>
      </w:r>
    </w:p>
    <w:p w14:paraId="5A0599CA" w14:textId="77777777" w:rsidR="00605B99" w:rsidRPr="00610130" w:rsidRDefault="00605B99" w:rsidP="00605B99">
      <w:pPr>
        <w:jc w:val="both"/>
        <w:rPr>
          <w:rFonts w:ascii="DengXian" w:eastAsia="DengXian" w:hAnsi="DengXian"/>
          <w:sz w:val="20"/>
          <w:szCs w:val="20"/>
        </w:rPr>
      </w:pPr>
      <w:r>
        <w:rPr>
          <w:rFonts w:ascii="DengXian" w:eastAsia="DengXian" w:hAnsi="DengXian"/>
          <w:sz w:val="20"/>
          <w:szCs w:val="20"/>
        </w:rPr>
        <w:t>V</w:t>
      </w:r>
      <w:r w:rsidRPr="00610130">
        <w:rPr>
          <w:rFonts w:ascii="DengXian" w:eastAsia="DengXian" w:hAnsi="DengXian"/>
          <w:sz w:val="20"/>
          <w:szCs w:val="20"/>
        </w:rPr>
        <w:t>oici les données tenues en compte par l’étude d’impact :</w:t>
      </w:r>
    </w:p>
    <w:p w14:paraId="23E9BFC3" w14:textId="77777777" w:rsidR="00605B99" w:rsidRPr="00610130" w:rsidRDefault="00605B99" w:rsidP="00605B99">
      <w:pPr>
        <w:pStyle w:val="Paragraphedeliste"/>
        <w:numPr>
          <w:ilvl w:val="0"/>
          <w:numId w:val="1"/>
        </w:numPr>
        <w:jc w:val="both"/>
        <w:rPr>
          <w:rFonts w:ascii="DengXian" w:eastAsia="DengXian" w:hAnsi="DengXian"/>
          <w:sz w:val="20"/>
          <w:szCs w:val="20"/>
        </w:rPr>
      </w:pPr>
      <w:r w:rsidRPr="00610130">
        <w:rPr>
          <w:rFonts w:ascii="DengXian" w:eastAsia="DengXian" w:hAnsi="DengXian"/>
          <w:sz w:val="20"/>
          <w:szCs w:val="20"/>
        </w:rPr>
        <w:t xml:space="preserve">Page 30 : concentration </w:t>
      </w:r>
      <w:r w:rsidRPr="00610130">
        <w:rPr>
          <w:rFonts w:ascii="DengXian" w:eastAsia="DengXian" w:hAnsi="DengXian"/>
          <w:b/>
          <w:bCs/>
          <w:sz w:val="20"/>
          <w:szCs w:val="20"/>
        </w:rPr>
        <w:t>moyenne annuelle</w:t>
      </w:r>
      <w:r w:rsidRPr="00610130">
        <w:rPr>
          <w:rFonts w:ascii="DengXian" w:eastAsia="DengXian" w:hAnsi="DengXian"/>
          <w:sz w:val="20"/>
          <w:szCs w:val="20"/>
        </w:rPr>
        <w:t xml:space="preserve"> de NO2 en </w:t>
      </w:r>
      <w:r w:rsidRPr="00610130">
        <w:rPr>
          <w:rFonts w:ascii="DengXian" w:eastAsia="DengXian" w:hAnsi="DengXian"/>
          <w:b/>
          <w:bCs/>
          <w:sz w:val="20"/>
          <w:szCs w:val="20"/>
        </w:rPr>
        <w:t xml:space="preserve">2014 ! - </w:t>
      </w:r>
      <w:r w:rsidRPr="00610130">
        <w:rPr>
          <w:rFonts w:ascii="DengXian" w:eastAsia="DengXian" w:hAnsi="DengXian"/>
          <w:sz w:val="20"/>
          <w:szCs w:val="20"/>
        </w:rPr>
        <w:t>21</w:t>
      </w:r>
      <w:r w:rsidRPr="00610130">
        <w:rPr>
          <w:sz w:val="20"/>
          <w:szCs w:val="20"/>
        </w:rPr>
        <w:t xml:space="preserve"> </w:t>
      </w:r>
      <w:r w:rsidRPr="00610130">
        <w:rPr>
          <w:rFonts w:ascii="DengXian" w:eastAsia="DengXian" w:hAnsi="DengXian"/>
          <w:sz w:val="20"/>
          <w:szCs w:val="20"/>
        </w:rPr>
        <w:t>en µg/m3 (bien entendu inférieure à la valeur limite fixée dans l’</w:t>
      </w:r>
      <w:proofErr w:type="spellStart"/>
      <w:r w:rsidRPr="00610130">
        <w:rPr>
          <w:rFonts w:ascii="DengXian" w:eastAsia="DengXian" w:hAnsi="DengXian"/>
          <w:sz w:val="20"/>
          <w:szCs w:val="20"/>
        </w:rPr>
        <w:t>OPair</w:t>
      </w:r>
      <w:proofErr w:type="spellEnd"/>
      <w:r w:rsidRPr="00610130">
        <w:rPr>
          <w:rFonts w:ascii="DengXian" w:eastAsia="DengXian" w:hAnsi="DengXian"/>
          <w:sz w:val="20"/>
          <w:szCs w:val="20"/>
        </w:rPr>
        <w:t xml:space="preserve"> de 30 µg/m3). </w:t>
      </w:r>
    </w:p>
    <w:p w14:paraId="596E6C76" w14:textId="77777777" w:rsidR="00605B99" w:rsidRPr="00610130" w:rsidRDefault="00605B99" w:rsidP="00605B99">
      <w:pPr>
        <w:pStyle w:val="Paragraphedeliste"/>
        <w:numPr>
          <w:ilvl w:val="0"/>
          <w:numId w:val="1"/>
        </w:numPr>
        <w:jc w:val="both"/>
        <w:rPr>
          <w:rFonts w:ascii="DengXian" w:eastAsia="DengXian" w:hAnsi="DengXian"/>
          <w:sz w:val="20"/>
          <w:szCs w:val="20"/>
        </w:rPr>
      </w:pPr>
      <w:r w:rsidRPr="00610130">
        <w:rPr>
          <w:rFonts w:ascii="DengXian" w:eastAsia="DengXian" w:hAnsi="DengXian"/>
          <w:sz w:val="20"/>
          <w:szCs w:val="20"/>
        </w:rPr>
        <w:t xml:space="preserve">Page 30 : valeur de 16 en µg/m3 pour les particules fines et polluants émis par les échappements des véhicules sur une base des données provenant de la station officielle à </w:t>
      </w:r>
      <w:r w:rsidRPr="00610130">
        <w:rPr>
          <w:rFonts w:ascii="DengXian" w:eastAsia="DengXian" w:hAnsi="DengXian"/>
          <w:b/>
          <w:bCs/>
          <w:sz w:val="20"/>
          <w:szCs w:val="20"/>
          <w:u w:val="single"/>
        </w:rPr>
        <w:t>Meyrin</w:t>
      </w:r>
      <w:r w:rsidRPr="00610130">
        <w:rPr>
          <w:rFonts w:ascii="DengXian" w:eastAsia="DengXian" w:hAnsi="DengXian"/>
          <w:sz w:val="20"/>
          <w:szCs w:val="20"/>
        </w:rPr>
        <w:t xml:space="preserve">, c’est-à-dire à </w:t>
      </w:r>
      <w:r w:rsidRPr="00610130">
        <w:rPr>
          <w:rFonts w:ascii="DengXian" w:eastAsia="DengXian" w:hAnsi="DengXian"/>
          <w:b/>
          <w:bCs/>
          <w:sz w:val="20"/>
          <w:szCs w:val="20"/>
          <w:u w:val="single"/>
        </w:rPr>
        <w:t>5.8km</w:t>
      </w:r>
      <w:r w:rsidRPr="00610130">
        <w:rPr>
          <w:rFonts w:ascii="DengXian" w:eastAsia="DengXian" w:hAnsi="DengXian"/>
          <w:sz w:val="20"/>
          <w:szCs w:val="20"/>
        </w:rPr>
        <w:t xml:space="preserve"> du site de stockage, alors que des valeurs officielles plus proches existent, étant donné la proximité de l’aéroport de Genève. D’ailleurs, il n’est pas mentionné de quand date cette moyenne ni la période couvrant la moyenne…</w:t>
      </w:r>
    </w:p>
    <w:p w14:paraId="7C43D5C9" w14:textId="77777777" w:rsidR="00605B99" w:rsidRPr="00610130" w:rsidRDefault="00605B99" w:rsidP="00605B99">
      <w:pPr>
        <w:pStyle w:val="Paragraphedeliste"/>
        <w:numPr>
          <w:ilvl w:val="0"/>
          <w:numId w:val="1"/>
        </w:numPr>
        <w:jc w:val="both"/>
        <w:rPr>
          <w:rFonts w:ascii="DengXian" w:eastAsia="DengXian" w:hAnsi="DengXian"/>
          <w:sz w:val="20"/>
          <w:szCs w:val="20"/>
        </w:rPr>
      </w:pPr>
      <w:r>
        <w:rPr>
          <w:rFonts w:ascii="DengXian" w:eastAsia="DengXian" w:hAnsi="DengXian"/>
          <w:sz w:val="20"/>
          <w:szCs w:val="20"/>
        </w:rPr>
        <w:t>Page 30 : i</w:t>
      </w:r>
      <w:r w:rsidRPr="00610130">
        <w:rPr>
          <w:rFonts w:ascii="DengXian" w:eastAsia="DengXian" w:hAnsi="DengXian"/>
          <w:sz w:val="20"/>
          <w:szCs w:val="20"/>
        </w:rPr>
        <w:t>l mentionne que la concentration moyenne annuelle n’y est pas modélisé car le projet est trop éloigné du périmètre problématique de la ville de Genève, alors que le périmètre de l’aéroport est aussi problématique (image ci-dessous) :</w:t>
      </w:r>
    </w:p>
    <w:p w14:paraId="516D87F0" w14:textId="77777777" w:rsidR="00605B99" w:rsidRDefault="00605B99" w:rsidP="00605B99">
      <w:pPr>
        <w:jc w:val="both"/>
        <w:rPr>
          <w:rFonts w:ascii="DengXian" w:eastAsia="DengXian" w:hAnsi="DengXian"/>
          <w:sz w:val="24"/>
          <w:szCs w:val="24"/>
        </w:rPr>
      </w:pPr>
      <w:r>
        <w:rPr>
          <w:noProof/>
        </w:rPr>
        <w:lastRenderedPageBreak/>
        <w:drawing>
          <wp:inline distT="0" distB="0" distL="0" distR="0" wp14:anchorId="391EC575" wp14:editId="6C89EF72">
            <wp:extent cx="5758902" cy="30289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2147" cy="3030657"/>
                    </a:xfrm>
                    <a:prstGeom prst="rect">
                      <a:avLst/>
                    </a:prstGeom>
                  </pic:spPr>
                </pic:pic>
              </a:graphicData>
            </a:graphic>
          </wp:inline>
        </w:drawing>
      </w:r>
    </w:p>
    <w:p w14:paraId="7204EF35" w14:textId="77777777" w:rsidR="00605B99" w:rsidRDefault="00605B99" w:rsidP="00605B99">
      <w:pPr>
        <w:jc w:val="both"/>
        <w:rPr>
          <w:rFonts w:ascii="DengXian" w:eastAsia="DengXian" w:hAnsi="DengXian"/>
          <w:sz w:val="20"/>
          <w:szCs w:val="20"/>
        </w:rPr>
      </w:pPr>
    </w:p>
    <w:p w14:paraId="4259A91C" w14:textId="77777777" w:rsidR="00605B99" w:rsidRPr="001F42C3" w:rsidRDefault="00605B99" w:rsidP="00605B99">
      <w:pPr>
        <w:jc w:val="both"/>
        <w:rPr>
          <w:rFonts w:ascii="DengXian" w:eastAsia="DengXian" w:hAnsi="DengXian"/>
          <w:sz w:val="20"/>
          <w:szCs w:val="20"/>
        </w:rPr>
      </w:pPr>
      <w:r w:rsidRPr="00610130">
        <w:rPr>
          <w:rFonts w:ascii="DengXian" w:eastAsia="DengXian" w:hAnsi="DengXian"/>
          <w:sz w:val="20"/>
          <w:szCs w:val="20"/>
        </w:rPr>
        <w:t xml:space="preserve">Pour votre information et suivant le graphique ci-dessus, la zone du Crest d’El fait frontière avec la zone en jaune (26-28). Selon ces données, le </w:t>
      </w:r>
      <w:proofErr w:type="spellStart"/>
      <w:r w:rsidRPr="00610130">
        <w:rPr>
          <w:rFonts w:ascii="DengXian" w:eastAsia="DengXian" w:hAnsi="DengXian"/>
          <w:sz w:val="20"/>
          <w:szCs w:val="20"/>
        </w:rPr>
        <w:t>Crest-d’El</w:t>
      </w:r>
      <w:proofErr w:type="spellEnd"/>
      <w:r w:rsidRPr="00610130">
        <w:rPr>
          <w:rFonts w:ascii="DengXian" w:eastAsia="DengXian" w:hAnsi="DengXian"/>
          <w:sz w:val="20"/>
          <w:szCs w:val="20"/>
        </w:rPr>
        <w:t xml:space="preserve"> se trouverait dans une zone « &gt;26 estimée ». Il faut savoir que cette zone </w:t>
      </w:r>
      <w:r>
        <w:rPr>
          <w:rFonts w:ascii="DengXian" w:eastAsia="DengXian" w:hAnsi="DengXian"/>
          <w:sz w:val="20"/>
          <w:szCs w:val="20"/>
        </w:rPr>
        <w:t>ne peut pas être estimé à des valeurs</w:t>
      </w:r>
      <w:r w:rsidRPr="00610130">
        <w:rPr>
          <w:rFonts w:ascii="DengXian" w:eastAsia="DengXian" w:hAnsi="DengXian"/>
          <w:sz w:val="20"/>
          <w:szCs w:val="20"/>
        </w:rPr>
        <w:t xml:space="preserve"> comme le reste du canton car il y a justement la problématique de l’autoroute à proximité </w:t>
      </w:r>
      <w:r>
        <w:rPr>
          <w:rFonts w:ascii="DengXian" w:eastAsia="DengXian" w:hAnsi="DengXian"/>
          <w:sz w:val="20"/>
          <w:szCs w:val="20"/>
        </w:rPr>
        <w:t>auquel s’ajoutent le trafic transfrontalier et communal.</w:t>
      </w:r>
      <w:r w:rsidRPr="00610130">
        <w:rPr>
          <w:rFonts w:ascii="DengXian" w:eastAsia="DengXian" w:hAnsi="DengXian"/>
          <w:sz w:val="20"/>
          <w:szCs w:val="20"/>
        </w:rPr>
        <w:t xml:space="preserve"> Dès lors, il ne faut pas partir du principe que les valeurs sont bien inférieures à 26 mais</w:t>
      </w:r>
      <w:r>
        <w:rPr>
          <w:rFonts w:ascii="DengXian" w:eastAsia="DengXian" w:hAnsi="DengXian"/>
          <w:sz w:val="20"/>
          <w:szCs w:val="20"/>
        </w:rPr>
        <w:t xml:space="preserve"> </w:t>
      </w:r>
      <w:r w:rsidRPr="00610130">
        <w:rPr>
          <w:rFonts w:ascii="DengXian" w:eastAsia="DengXian" w:hAnsi="DengXian"/>
          <w:sz w:val="20"/>
          <w:szCs w:val="20"/>
        </w:rPr>
        <w:t>qui restent tout aussi importantes. Nous allons essayer de démontrer ce point avec les données ci-dessous.</w:t>
      </w:r>
    </w:p>
    <w:p w14:paraId="04B95D89" w14:textId="77777777" w:rsidR="00605B99" w:rsidRPr="001F42C3" w:rsidRDefault="00605B99" w:rsidP="00605B99">
      <w:pPr>
        <w:jc w:val="both"/>
        <w:rPr>
          <w:sz w:val="20"/>
          <w:szCs w:val="20"/>
        </w:rPr>
      </w:pPr>
      <w:r w:rsidRPr="001F42C3">
        <w:rPr>
          <w:rFonts w:ascii="DengXian" w:eastAsia="DengXian" w:hAnsi="DengXian"/>
          <w:sz w:val="20"/>
          <w:szCs w:val="20"/>
        </w:rPr>
        <w:t xml:space="preserve">Les mesures détaillées du dioxyde d’azote par station obtenues pour l’année 2018 sont les suivantes : </w:t>
      </w:r>
    </w:p>
    <w:p w14:paraId="5645F363" w14:textId="77777777" w:rsidR="00605B99" w:rsidRDefault="00605B99" w:rsidP="00605B99">
      <w:pPr>
        <w:rPr>
          <w:rFonts w:ascii="DengXian" w:eastAsia="DengXian" w:hAnsi="DengXian"/>
        </w:rPr>
      </w:pPr>
      <w:r>
        <w:rPr>
          <w:noProof/>
        </w:rPr>
        <w:drawing>
          <wp:inline distT="0" distB="0" distL="0" distR="0" wp14:anchorId="02B3CF5F" wp14:editId="472712CE">
            <wp:extent cx="5981700" cy="1294765"/>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20388" cy="1303139"/>
                    </a:xfrm>
                    <a:prstGeom prst="rect">
                      <a:avLst/>
                    </a:prstGeom>
                  </pic:spPr>
                </pic:pic>
              </a:graphicData>
            </a:graphic>
          </wp:inline>
        </w:drawing>
      </w:r>
    </w:p>
    <w:p w14:paraId="5496F3A8" w14:textId="77777777" w:rsidR="00605B99" w:rsidRPr="001F42C3" w:rsidRDefault="00605B99" w:rsidP="00605B99">
      <w:pPr>
        <w:rPr>
          <w:rFonts w:ascii="DengXian" w:eastAsia="DengXian" w:hAnsi="DengXian"/>
          <w:sz w:val="20"/>
          <w:szCs w:val="20"/>
        </w:rPr>
      </w:pPr>
      <w:r w:rsidRPr="001F42C3">
        <w:rPr>
          <w:rFonts w:ascii="DengXian" w:eastAsia="DengXian" w:hAnsi="DengXian"/>
          <w:sz w:val="20"/>
          <w:szCs w:val="20"/>
        </w:rPr>
        <w:t xml:space="preserve">Afin de faciliter l’analyse, voici une présentation graphique des chiffres exposés ci-dessus : </w:t>
      </w:r>
    </w:p>
    <w:p w14:paraId="3E0E53F1" w14:textId="77777777" w:rsidR="00605B99" w:rsidRDefault="00605B99" w:rsidP="00605B99">
      <w:pPr>
        <w:rPr>
          <w:rFonts w:ascii="DengXian" w:eastAsia="DengXian" w:hAnsi="DengXian"/>
        </w:rPr>
      </w:pPr>
      <w:r>
        <w:rPr>
          <w:noProof/>
        </w:rPr>
        <w:lastRenderedPageBreak/>
        <w:drawing>
          <wp:inline distT="0" distB="0" distL="0" distR="0" wp14:anchorId="41093185" wp14:editId="18BD8D24">
            <wp:extent cx="6000750" cy="3390900"/>
            <wp:effectExtent l="0" t="0" r="0" b="0"/>
            <wp:docPr id="7" name="Graphique 7">
              <a:extLst xmlns:a="http://schemas.openxmlformats.org/drawingml/2006/main">
                <a:ext uri="{FF2B5EF4-FFF2-40B4-BE49-F238E27FC236}">
                  <a16:creationId xmlns:a16="http://schemas.microsoft.com/office/drawing/2014/main" id="{AA3B5190-7C84-4281-B59F-1E934D0023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6B70B35" w14:textId="77777777" w:rsidR="00605B99" w:rsidRDefault="00605B99" w:rsidP="00605B99">
      <w:pPr>
        <w:rPr>
          <w:rFonts w:ascii="DengXian" w:eastAsia="DengXian" w:hAnsi="DengXian"/>
          <w:sz w:val="20"/>
          <w:szCs w:val="20"/>
        </w:rPr>
      </w:pPr>
      <w:r w:rsidRPr="001F42C3">
        <w:rPr>
          <w:rFonts w:ascii="DengXian" w:eastAsia="DengXian" w:hAnsi="DengXian"/>
          <w:sz w:val="20"/>
          <w:szCs w:val="20"/>
        </w:rPr>
        <w:t>Nous remarquons que les valeurs d’</w:t>
      </w:r>
      <w:proofErr w:type="spellStart"/>
      <w:r w:rsidRPr="001F42C3">
        <w:rPr>
          <w:rFonts w:ascii="DengXian" w:eastAsia="DengXian" w:hAnsi="DengXian"/>
          <w:sz w:val="20"/>
          <w:szCs w:val="20"/>
        </w:rPr>
        <w:t>immision</w:t>
      </w:r>
      <w:proofErr w:type="spellEnd"/>
      <w:r w:rsidRPr="001F42C3">
        <w:rPr>
          <w:rFonts w:ascii="DengXian" w:eastAsia="DengXian" w:hAnsi="DengXian"/>
          <w:sz w:val="20"/>
          <w:szCs w:val="20"/>
        </w:rPr>
        <w:t xml:space="preserve"> les plus importantes de NO2 se situent dans la région de la gare Cornavin (Necker) et l’aéroport de Genève cara</w:t>
      </w:r>
      <w:r>
        <w:rPr>
          <w:rFonts w:ascii="DengXian" w:eastAsia="DengXian" w:hAnsi="DengXian"/>
          <w:sz w:val="20"/>
          <w:szCs w:val="20"/>
        </w:rPr>
        <w:t>c</w:t>
      </w:r>
      <w:r w:rsidRPr="001F42C3">
        <w:rPr>
          <w:rFonts w:ascii="DengXian" w:eastAsia="DengXian" w:hAnsi="DengXian"/>
          <w:sz w:val="20"/>
          <w:szCs w:val="20"/>
        </w:rPr>
        <w:t xml:space="preserve">térisé par la proximité de l’autoroute. </w:t>
      </w:r>
    </w:p>
    <w:p w14:paraId="7735D51B" w14:textId="77777777" w:rsidR="00605B99" w:rsidRPr="005C6F1C" w:rsidRDefault="00605B99" w:rsidP="00605B99">
      <w:pPr>
        <w:jc w:val="both"/>
        <w:rPr>
          <w:rFonts w:ascii="DengXian" w:eastAsia="DengXian" w:hAnsi="DengXian"/>
          <w:sz w:val="20"/>
          <w:szCs w:val="20"/>
        </w:rPr>
      </w:pPr>
      <w:r w:rsidRPr="005C6F1C">
        <w:rPr>
          <w:rFonts w:ascii="DengXian" w:eastAsia="DengXian" w:hAnsi="DengXian"/>
          <w:sz w:val="20"/>
          <w:szCs w:val="20"/>
        </w:rPr>
        <w:t>Ce tableur nous montre aussi que les valeurs dans le reste du canton sont bien inférieures aux valeurs auquel notre région est exposée.</w:t>
      </w:r>
      <w:r>
        <w:rPr>
          <w:rFonts w:ascii="DengXian" w:eastAsia="DengXian" w:hAnsi="DengXian"/>
          <w:sz w:val="20"/>
          <w:szCs w:val="20"/>
        </w:rPr>
        <w:t xml:space="preserve"> Nous soulignons que les valeurs pour l’aéroport sont légèrement inférieures de celles publiés par l’aéroport de Genève (24,58 NO2 suivant notre moyenne contre 29 NO2). </w:t>
      </w:r>
    </w:p>
    <w:p w14:paraId="673D5961" w14:textId="77777777" w:rsidR="00605B99" w:rsidRPr="001F42C3" w:rsidRDefault="00605B99" w:rsidP="00605B99">
      <w:pPr>
        <w:jc w:val="both"/>
        <w:rPr>
          <w:rFonts w:ascii="DengXian" w:eastAsia="DengXian" w:hAnsi="DengXian"/>
          <w:sz w:val="20"/>
          <w:szCs w:val="20"/>
        </w:rPr>
      </w:pPr>
      <w:r w:rsidRPr="001F42C3">
        <w:rPr>
          <w:rFonts w:ascii="DengXian" w:eastAsia="DengXian" w:hAnsi="DengXian"/>
          <w:sz w:val="20"/>
          <w:szCs w:val="20"/>
        </w:rPr>
        <w:t>Les valeurs limites d'</w:t>
      </w:r>
      <w:proofErr w:type="spellStart"/>
      <w:r w:rsidRPr="001F42C3">
        <w:rPr>
          <w:rFonts w:ascii="DengXian" w:eastAsia="DengXian" w:hAnsi="DengXian"/>
          <w:sz w:val="20"/>
          <w:szCs w:val="20"/>
        </w:rPr>
        <w:t>immission</w:t>
      </w:r>
      <w:proofErr w:type="spellEnd"/>
      <w:r w:rsidRPr="001F42C3">
        <w:rPr>
          <w:rFonts w:ascii="DengXian" w:eastAsia="DengXian" w:hAnsi="DengXian"/>
          <w:sz w:val="20"/>
          <w:szCs w:val="20"/>
        </w:rPr>
        <w:t xml:space="preserve"> selon la loi suisse (</w:t>
      </w:r>
      <w:proofErr w:type="spellStart"/>
      <w:r w:rsidRPr="001F42C3">
        <w:rPr>
          <w:rFonts w:ascii="DengXian" w:eastAsia="DengXian" w:hAnsi="DengXian"/>
          <w:sz w:val="20"/>
          <w:szCs w:val="20"/>
        </w:rPr>
        <w:t>VLIOPair</w:t>
      </w:r>
      <w:proofErr w:type="spellEnd"/>
      <w:r w:rsidRPr="001F42C3">
        <w:rPr>
          <w:rFonts w:ascii="DengXian" w:eastAsia="DengXian" w:hAnsi="DengXian"/>
          <w:sz w:val="20"/>
          <w:szCs w:val="20"/>
        </w:rPr>
        <w:t>) pour le dioxyde d’azote sont les suivantes (extrait du rapport sur la qualité de l’air 2018 – état de Genève)</w:t>
      </w:r>
    </w:p>
    <w:p w14:paraId="379ABFB9" w14:textId="77777777" w:rsidR="00605B99" w:rsidRDefault="00605B99" w:rsidP="00605B99">
      <w:pPr>
        <w:rPr>
          <w:rFonts w:ascii="DengXian" w:eastAsia="DengXian" w:hAnsi="DengXian"/>
        </w:rPr>
      </w:pPr>
      <w:r>
        <w:rPr>
          <w:noProof/>
        </w:rPr>
        <w:drawing>
          <wp:inline distT="0" distB="0" distL="0" distR="0" wp14:anchorId="3ADC5F0B" wp14:editId="3336EEFB">
            <wp:extent cx="5476875" cy="1552381"/>
            <wp:effectExtent l="0" t="0" r="0" b="0"/>
            <wp:docPr id="9" name="Image 6">
              <a:extLst xmlns:a="http://schemas.openxmlformats.org/drawingml/2006/main">
                <a:ext uri="{FF2B5EF4-FFF2-40B4-BE49-F238E27FC236}">
                  <a16:creationId xmlns:a16="http://schemas.microsoft.com/office/drawing/2014/main" id="{3A943ED0-06D9-40E6-9391-91F5B19956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3A943ED0-06D9-40E6-9391-91F5B19956D8}"/>
                        </a:ext>
                      </a:extLst>
                    </pic:cNvPr>
                    <pic:cNvPicPr>
                      <a:picLocks noChangeAspect="1"/>
                    </pic:cNvPicPr>
                  </pic:nvPicPr>
                  <pic:blipFill>
                    <a:blip r:embed="rId14"/>
                    <a:stretch>
                      <a:fillRect/>
                    </a:stretch>
                  </pic:blipFill>
                  <pic:spPr>
                    <a:xfrm>
                      <a:off x="0" y="0"/>
                      <a:ext cx="5476875" cy="1552381"/>
                    </a:xfrm>
                    <a:prstGeom prst="rect">
                      <a:avLst/>
                    </a:prstGeom>
                  </pic:spPr>
                </pic:pic>
              </a:graphicData>
            </a:graphic>
          </wp:inline>
        </w:drawing>
      </w:r>
    </w:p>
    <w:p w14:paraId="46B9DBBF" w14:textId="77777777" w:rsidR="00605B99" w:rsidRDefault="00605B99" w:rsidP="00605B99">
      <w:pPr>
        <w:jc w:val="both"/>
        <w:rPr>
          <w:rFonts w:ascii="DengXian" w:eastAsia="DengXian" w:hAnsi="DengXian"/>
          <w:sz w:val="20"/>
          <w:szCs w:val="20"/>
        </w:rPr>
      </w:pPr>
      <w:r w:rsidRPr="005C6F1C">
        <w:rPr>
          <w:rFonts w:ascii="DengXian" w:eastAsia="DengXian" w:hAnsi="DengXian"/>
          <w:sz w:val="20"/>
          <w:szCs w:val="20"/>
        </w:rPr>
        <w:t xml:space="preserve">Suivant cette information, nous constatons sur le </w:t>
      </w:r>
      <w:r>
        <w:rPr>
          <w:rFonts w:ascii="DengXian" w:eastAsia="DengXian" w:hAnsi="DengXian"/>
          <w:sz w:val="20"/>
          <w:szCs w:val="20"/>
        </w:rPr>
        <w:t xml:space="preserve">tableur </w:t>
      </w:r>
      <w:r w:rsidR="001E2416">
        <w:rPr>
          <w:rFonts w:ascii="DengXian" w:eastAsia="DengXian" w:hAnsi="DengXian"/>
          <w:sz w:val="20"/>
          <w:szCs w:val="20"/>
        </w:rPr>
        <w:t xml:space="preserve">figurant sur la page 4, que pendant </w:t>
      </w:r>
      <w:r w:rsidRPr="005C6F1C">
        <w:rPr>
          <w:rFonts w:ascii="DengXian" w:eastAsia="DengXian" w:hAnsi="DengXian"/>
          <w:sz w:val="20"/>
          <w:szCs w:val="20"/>
        </w:rPr>
        <w:t>5 mois le taux de 30</w:t>
      </w:r>
      <w:r w:rsidRPr="005C6F1C">
        <w:rPr>
          <w:b/>
          <w:bCs/>
          <w:sz w:val="20"/>
          <w:szCs w:val="20"/>
        </w:rPr>
        <w:t xml:space="preserve"> </w:t>
      </w:r>
      <w:r w:rsidRPr="005C6F1C">
        <w:rPr>
          <w:rFonts w:ascii="DengXian" w:eastAsia="DengXian" w:hAnsi="DengXian"/>
          <w:sz w:val="20"/>
          <w:szCs w:val="20"/>
        </w:rPr>
        <w:t>µg/m3</w:t>
      </w:r>
      <w:r w:rsidRPr="005C6F1C">
        <w:rPr>
          <w:rFonts w:ascii="DengXian" w:eastAsia="DengXian" w:hAnsi="DengXian"/>
          <w:b/>
          <w:bCs/>
          <w:sz w:val="20"/>
          <w:szCs w:val="20"/>
        </w:rPr>
        <w:t xml:space="preserve"> </w:t>
      </w:r>
      <w:r w:rsidRPr="005C6F1C">
        <w:rPr>
          <w:rFonts w:ascii="DengXian" w:eastAsia="DengXian" w:hAnsi="DengXian"/>
          <w:sz w:val="20"/>
          <w:szCs w:val="20"/>
        </w:rPr>
        <w:t xml:space="preserve">a été dépassé </w:t>
      </w:r>
      <w:r>
        <w:rPr>
          <w:rFonts w:ascii="DengXian" w:eastAsia="DengXian" w:hAnsi="DengXian"/>
          <w:sz w:val="20"/>
          <w:szCs w:val="20"/>
        </w:rPr>
        <w:t>selon la station</w:t>
      </w:r>
      <w:r w:rsidRPr="005C6F1C">
        <w:rPr>
          <w:rFonts w:ascii="DengXian" w:eastAsia="DengXian" w:hAnsi="DengXian"/>
          <w:sz w:val="20"/>
          <w:szCs w:val="20"/>
        </w:rPr>
        <w:t xml:space="preserve"> disponible au public à l’aéroport de Genève. </w:t>
      </w:r>
    </w:p>
    <w:p w14:paraId="6330096C" w14:textId="77777777" w:rsidR="00605B99" w:rsidRDefault="00605B99" w:rsidP="00605B99">
      <w:pPr>
        <w:jc w:val="both"/>
        <w:rPr>
          <w:rFonts w:ascii="DengXian" w:eastAsia="DengXian" w:hAnsi="DengXian"/>
          <w:sz w:val="20"/>
          <w:szCs w:val="20"/>
        </w:rPr>
      </w:pPr>
      <w:r>
        <w:rPr>
          <w:rFonts w:ascii="DengXian" w:eastAsia="DengXian" w:hAnsi="DengXian"/>
          <w:sz w:val="20"/>
          <w:szCs w:val="20"/>
        </w:rPr>
        <w:t>Les oxydes d’azote NOX (polluant atmosphérique), comprennent deux molécules : le monoxyde d’azote NO et le dioxyde d’azote NO2. Ces molécules se forment par une combinaison entre l’oxygène et azote de l’air lors d’une combustion ou par l’oxydation d’azote dans les combustibles. Une des principales sources d’émission de NOX sont liées au transport routier à cause des gaz d’échappement.</w:t>
      </w:r>
    </w:p>
    <w:p w14:paraId="44E668AC" w14:textId="77777777" w:rsidR="00605B99" w:rsidRDefault="00605B99" w:rsidP="00605B99">
      <w:pPr>
        <w:jc w:val="both"/>
        <w:rPr>
          <w:rFonts w:ascii="DengXian" w:eastAsia="DengXian" w:hAnsi="DengXian"/>
          <w:sz w:val="20"/>
          <w:szCs w:val="20"/>
        </w:rPr>
      </w:pPr>
      <w:r>
        <w:rPr>
          <w:rFonts w:ascii="DengXian" w:eastAsia="DengXian" w:hAnsi="DengXian"/>
          <w:sz w:val="20"/>
          <w:szCs w:val="20"/>
        </w:rPr>
        <w:t>L’étude d’impact avance une moyenne journalière de 11'200 véhicules par jour sans la décharge. Tenant en compte de de ce nombre, voici ce qu</w:t>
      </w:r>
      <w:r w:rsidRPr="004D2479">
        <w:rPr>
          <w:rFonts w:ascii="DengXian" w:eastAsia="DengXian" w:hAnsi="DengXian"/>
          <w:sz w:val="20"/>
          <w:szCs w:val="20"/>
        </w:rPr>
        <w:t xml:space="preserve">i est </w:t>
      </w:r>
      <w:r>
        <w:rPr>
          <w:rFonts w:ascii="DengXian" w:eastAsia="DengXian" w:hAnsi="DengXian"/>
          <w:sz w:val="20"/>
          <w:szCs w:val="20"/>
        </w:rPr>
        <w:t>produit comme NOX dans la région avant la décharge :</w:t>
      </w:r>
    </w:p>
    <w:tbl>
      <w:tblPr>
        <w:tblW w:w="9097" w:type="dxa"/>
        <w:tblCellMar>
          <w:left w:w="70" w:type="dxa"/>
          <w:right w:w="70" w:type="dxa"/>
        </w:tblCellMar>
        <w:tblLook w:val="04A0" w:firstRow="1" w:lastRow="0" w:firstColumn="1" w:lastColumn="0" w:noHBand="0" w:noVBand="1"/>
      </w:tblPr>
      <w:tblGrid>
        <w:gridCol w:w="5435"/>
        <w:gridCol w:w="1246"/>
        <w:gridCol w:w="944"/>
        <w:gridCol w:w="250"/>
        <w:gridCol w:w="1062"/>
        <w:gridCol w:w="671"/>
        <w:gridCol w:w="34"/>
      </w:tblGrid>
      <w:tr w:rsidR="00605B99" w:rsidRPr="00F975B2" w14:paraId="011DB7FB" w14:textId="77777777" w:rsidTr="00674F2E">
        <w:trPr>
          <w:gridAfter w:val="1"/>
          <w:wAfter w:w="10" w:type="dxa"/>
          <w:trHeight w:val="300"/>
        </w:trPr>
        <w:tc>
          <w:tcPr>
            <w:tcW w:w="908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A72AA" w14:textId="77777777" w:rsidR="00605B99" w:rsidRPr="00F975B2" w:rsidRDefault="00605B99" w:rsidP="00674F2E">
            <w:pPr>
              <w:spacing w:after="0" w:line="240" w:lineRule="auto"/>
              <w:jc w:val="center"/>
              <w:rPr>
                <w:rFonts w:ascii="Calibri" w:eastAsia="Times New Roman" w:hAnsi="Calibri" w:cs="Calibri"/>
                <w:b/>
                <w:bCs/>
                <w:color w:val="000000"/>
                <w:lang w:eastAsia="fr-CH"/>
              </w:rPr>
            </w:pPr>
            <w:r w:rsidRPr="00F975B2">
              <w:rPr>
                <w:rFonts w:ascii="Calibri" w:eastAsia="Times New Roman" w:hAnsi="Calibri" w:cs="Calibri"/>
                <w:b/>
                <w:bCs/>
                <w:color w:val="000000"/>
                <w:lang w:eastAsia="fr-CH"/>
              </w:rPr>
              <w:t>RECALCUL, EMISSION NOX PAR JOUR POUR 1KM TRONCON</w:t>
            </w:r>
          </w:p>
        </w:tc>
      </w:tr>
      <w:tr w:rsidR="00605B99" w:rsidRPr="00F975B2" w14:paraId="6B8CD78C" w14:textId="77777777" w:rsidTr="00674F2E">
        <w:trPr>
          <w:trHeight w:val="1155"/>
        </w:trPr>
        <w:tc>
          <w:tcPr>
            <w:tcW w:w="5435" w:type="dxa"/>
            <w:tcBorders>
              <w:top w:val="nil"/>
              <w:left w:val="single" w:sz="4" w:space="0" w:color="auto"/>
              <w:bottom w:val="single" w:sz="4" w:space="0" w:color="auto"/>
              <w:right w:val="single" w:sz="4" w:space="0" w:color="auto"/>
            </w:tcBorders>
            <w:shd w:val="clear" w:color="000000" w:fill="B4C6E7"/>
            <w:vAlign w:val="center"/>
            <w:hideMark/>
          </w:tcPr>
          <w:p w14:paraId="6C27D1F3" w14:textId="77777777" w:rsidR="00605B99" w:rsidRPr="00F975B2" w:rsidRDefault="00605B99" w:rsidP="00674F2E">
            <w:pPr>
              <w:spacing w:after="0" w:line="240" w:lineRule="auto"/>
              <w:jc w:val="center"/>
              <w:rPr>
                <w:rFonts w:ascii="Calibri" w:eastAsia="Times New Roman" w:hAnsi="Calibri" w:cs="Calibri"/>
                <w:color w:val="000000"/>
                <w:lang w:eastAsia="fr-CH"/>
              </w:rPr>
            </w:pPr>
            <w:r w:rsidRPr="00F975B2">
              <w:rPr>
                <w:rFonts w:ascii="Calibri" w:eastAsia="Times New Roman" w:hAnsi="Calibri" w:cs="Calibri"/>
                <w:color w:val="000000"/>
                <w:lang w:eastAsia="fr-CH"/>
              </w:rPr>
              <w:lastRenderedPageBreak/>
              <w:t xml:space="preserve">Voitures par jour 11'200 </w:t>
            </w:r>
            <w:proofErr w:type="spellStart"/>
            <w:r w:rsidRPr="00F975B2">
              <w:rPr>
                <w:rFonts w:ascii="Calibri" w:eastAsia="Times New Roman" w:hAnsi="Calibri" w:cs="Calibri"/>
                <w:color w:val="000000"/>
                <w:lang w:eastAsia="fr-CH"/>
              </w:rPr>
              <w:t>vhc</w:t>
            </w:r>
            <w:proofErr w:type="spellEnd"/>
            <w:r w:rsidRPr="00F975B2">
              <w:rPr>
                <w:rFonts w:ascii="Calibri" w:eastAsia="Times New Roman" w:hAnsi="Calibri" w:cs="Calibri"/>
                <w:color w:val="000000"/>
                <w:lang w:eastAsia="fr-CH"/>
              </w:rPr>
              <w:t>/j sur une base d'</w:t>
            </w:r>
            <w:proofErr w:type="spellStart"/>
            <w:r w:rsidRPr="00F975B2">
              <w:rPr>
                <w:rFonts w:ascii="Calibri" w:eastAsia="Times New Roman" w:hAnsi="Calibri" w:cs="Calibri"/>
                <w:color w:val="000000"/>
                <w:lang w:eastAsia="fr-CH"/>
              </w:rPr>
              <w:t>immission</w:t>
            </w:r>
            <w:proofErr w:type="spellEnd"/>
            <w:r w:rsidRPr="00F975B2">
              <w:rPr>
                <w:rFonts w:ascii="Calibri" w:eastAsia="Times New Roman" w:hAnsi="Calibri" w:cs="Calibri"/>
                <w:color w:val="000000"/>
                <w:lang w:eastAsia="fr-CH"/>
              </w:rPr>
              <w:t xml:space="preserve"> par véhicule de 0,582gr/km (Euro 6 essence)</w:t>
            </w:r>
          </w:p>
        </w:tc>
        <w:tc>
          <w:tcPr>
            <w:tcW w:w="1246" w:type="dxa"/>
            <w:tcBorders>
              <w:top w:val="nil"/>
              <w:left w:val="nil"/>
              <w:bottom w:val="single" w:sz="4" w:space="0" w:color="auto"/>
              <w:right w:val="single" w:sz="4" w:space="0" w:color="auto"/>
            </w:tcBorders>
            <w:shd w:val="clear" w:color="000000" w:fill="B4C6E7"/>
            <w:noWrap/>
            <w:vAlign w:val="center"/>
            <w:hideMark/>
          </w:tcPr>
          <w:p w14:paraId="4EAE5934" w14:textId="77777777" w:rsidR="00605B99" w:rsidRPr="00F975B2" w:rsidRDefault="00605B99" w:rsidP="00674F2E">
            <w:pPr>
              <w:spacing w:after="0" w:line="240" w:lineRule="auto"/>
              <w:jc w:val="center"/>
              <w:rPr>
                <w:rFonts w:ascii="Calibri" w:eastAsia="Times New Roman" w:hAnsi="Calibri" w:cs="Calibri"/>
                <w:color w:val="000000"/>
                <w:lang w:eastAsia="fr-CH"/>
              </w:rPr>
            </w:pPr>
            <w:r w:rsidRPr="00F975B2">
              <w:rPr>
                <w:rFonts w:ascii="Calibri" w:eastAsia="Times New Roman" w:hAnsi="Calibri" w:cs="Calibri"/>
                <w:color w:val="000000"/>
                <w:lang w:eastAsia="fr-CH"/>
              </w:rPr>
              <w:t>6518,40</w:t>
            </w:r>
          </w:p>
        </w:tc>
        <w:tc>
          <w:tcPr>
            <w:tcW w:w="944" w:type="dxa"/>
            <w:tcBorders>
              <w:top w:val="nil"/>
              <w:left w:val="nil"/>
              <w:bottom w:val="single" w:sz="4" w:space="0" w:color="auto"/>
              <w:right w:val="single" w:sz="4" w:space="0" w:color="auto"/>
            </w:tcBorders>
            <w:shd w:val="clear" w:color="000000" w:fill="B4C6E7"/>
            <w:noWrap/>
            <w:vAlign w:val="center"/>
            <w:hideMark/>
          </w:tcPr>
          <w:p w14:paraId="11A103EC" w14:textId="77777777" w:rsidR="00605B99" w:rsidRPr="00F975B2" w:rsidRDefault="00605B99" w:rsidP="00674F2E">
            <w:pPr>
              <w:spacing w:after="0" w:line="240" w:lineRule="auto"/>
              <w:jc w:val="center"/>
              <w:rPr>
                <w:rFonts w:ascii="Calibri" w:eastAsia="Times New Roman" w:hAnsi="Calibri" w:cs="Calibri"/>
                <w:color w:val="000000"/>
                <w:lang w:eastAsia="fr-CH"/>
              </w:rPr>
            </w:pPr>
            <w:proofErr w:type="gramStart"/>
            <w:r w:rsidRPr="00F975B2">
              <w:rPr>
                <w:rFonts w:ascii="Calibri" w:eastAsia="Times New Roman" w:hAnsi="Calibri" w:cs="Calibri"/>
                <w:color w:val="000000"/>
                <w:lang w:eastAsia="fr-CH"/>
              </w:rPr>
              <w:t>gr</w:t>
            </w:r>
            <w:proofErr w:type="gramEnd"/>
            <w:r w:rsidRPr="00F975B2">
              <w:rPr>
                <w:rFonts w:ascii="Calibri" w:eastAsia="Times New Roman" w:hAnsi="Calibri" w:cs="Calibri"/>
                <w:color w:val="000000"/>
                <w:lang w:eastAsia="fr-CH"/>
              </w:rPr>
              <w:t>/km</w:t>
            </w:r>
          </w:p>
        </w:tc>
        <w:tc>
          <w:tcPr>
            <w:tcW w:w="250" w:type="dxa"/>
            <w:tcBorders>
              <w:top w:val="nil"/>
              <w:left w:val="nil"/>
              <w:bottom w:val="single" w:sz="4" w:space="0" w:color="auto"/>
              <w:right w:val="single" w:sz="4" w:space="0" w:color="auto"/>
            </w:tcBorders>
            <w:shd w:val="clear" w:color="000000" w:fill="B4C6E7"/>
            <w:noWrap/>
            <w:vAlign w:val="center"/>
            <w:hideMark/>
          </w:tcPr>
          <w:p w14:paraId="69203B04" w14:textId="77777777" w:rsidR="00605B99" w:rsidRPr="00F975B2" w:rsidRDefault="00605B99" w:rsidP="00674F2E">
            <w:pPr>
              <w:spacing w:after="0" w:line="240" w:lineRule="auto"/>
              <w:jc w:val="center"/>
              <w:rPr>
                <w:rFonts w:ascii="Calibri" w:eastAsia="Times New Roman" w:hAnsi="Calibri" w:cs="Calibri"/>
                <w:color w:val="000000"/>
                <w:lang w:eastAsia="fr-CH"/>
              </w:rPr>
            </w:pPr>
            <w:r w:rsidRPr="00F975B2">
              <w:rPr>
                <w:rFonts w:ascii="Calibri" w:eastAsia="Times New Roman" w:hAnsi="Calibri" w:cs="Calibri"/>
                <w:color w:val="000000"/>
                <w:lang w:eastAsia="fr-CH"/>
              </w:rPr>
              <w:t>≡</w:t>
            </w:r>
          </w:p>
        </w:tc>
        <w:tc>
          <w:tcPr>
            <w:tcW w:w="1062" w:type="dxa"/>
            <w:tcBorders>
              <w:top w:val="nil"/>
              <w:left w:val="nil"/>
              <w:bottom w:val="single" w:sz="4" w:space="0" w:color="auto"/>
              <w:right w:val="single" w:sz="4" w:space="0" w:color="auto"/>
            </w:tcBorders>
            <w:shd w:val="clear" w:color="000000" w:fill="B4C6E7"/>
            <w:noWrap/>
            <w:vAlign w:val="center"/>
            <w:hideMark/>
          </w:tcPr>
          <w:p w14:paraId="1484F0D5" w14:textId="77777777" w:rsidR="00605B99" w:rsidRPr="00F975B2" w:rsidRDefault="00605B99" w:rsidP="00674F2E">
            <w:pPr>
              <w:spacing w:after="0" w:line="240" w:lineRule="auto"/>
              <w:jc w:val="center"/>
              <w:rPr>
                <w:rFonts w:ascii="Calibri" w:eastAsia="Times New Roman" w:hAnsi="Calibri" w:cs="Calibri"/>
                <w:color w:val="000000"/>
                <w:lang w:eastAsia="fr-CH"/>
              </w:rPr>
            </w:pPr>
            <w:r w:rsidRPr="00F975B2">
              <w:rPr>
                <w:rFonts w:ascii="Calibri" w:eastAsia="Times New Roman" w:hAnsi="Calibri" w:cs="Calibri"/>
                <w:color w:val="000000"/>
                <w:lang w:eastAsia="fr-CH"/>
              </w:rPr>
              <w:t>6,5180</w:t>
            </w:r>
          </w:p>
        </w:tc>
        <w:tc>
          <w:tcPr>
            <w:tcW w:w="160" w:type="dxa"/>
            <w:gridSpan w:val="2"/>
            <w:tcBorders>
              <w:top w:val="nil"/>
              <w:left w:val="nil"/>
              <w:bottom w:val="single" w:sz="4" w:space="0" w:color="auto"/>
              <w:right w:val="single" w:sz="4" w:space="0" w:color="auto"/>
            </w:tcBorders>
            <w:shd w:val="clear" w:color="000000" w:fill="B4C6E7"/>
            <w:noWrap/>
            <w:vAlign w:val="center"/>
            <w:hideMark/>
          </w:tcPr>
          <w:p w14:paraId="4B17CFD4" w14:textId="77777777" w:rsidR="00605B99" w:rsidRPr="00F975B2" w:rsidRDefault="00605B99" w:rsidP="00674F2E">
            <w:pPr>
              <w:spacing w:after="0" w:line="240" w:lineRule="auto"/>
              <w:jc w:val="center"/>
              <w:rPr>
                <w:rFonts w:ascii="Calibri" w:eastAsia="Times New Roman" w:hAnsi="Calibri" w:cs="Calibri"/>
                <w:color w:val="000000"/>
                <w:lang w:eastAsia="fr-CH"/>
              </w:rPr>
            </w:pPr>
            <w:proofErr w:type="gramStart"/>
            <w:r w:rsidRPr="00F975B2">
              <w:rPr>
                <w:rFonts w:ascii="Calibri" w:eastAsia="Times New Roman" w:hAnsi="Calibri" w:cs="Calibri"/>
                <w:color w:val="000000"/>
                <w:lang w:eastAsia="fr-CH"/>
              </w:rPr>
              <w:t>kg</w:t>
            </w:r>
            <w:proofErr w:type="gramEnd"/>
            <w:r w:rsidRPr="00F975B2">
              <w:rPr>
                <w:rFonts w:ascii="Calibri" w:eastAsia="Times New Roman" w:hAnsi="Calibri" w:cs="Calibri"/>
                <w:color w:val="000000"/>
                <w:lang w:eastAsia="fr-CH"/>
              </w:rPr>
              <w:t>/km</w:t>
            </w:r>
          </w:p>
        </w:tc>
      </w:tr>
    </w:tbl>
    <w:p w14:paraId="15360668" w14:textId="77777777" w:rsidR="00605B99" w:rsidRDefault="00605B99" w:rsidP="00605B99">
      <w:pPr>
        <w:jc w:val="both"/>
        <w:rPr>
          <w:rFonts w:ascii="DengXian" w:eastAsia="DengXian" w:hAnsi="DengXian"/>
          <w:sz w:val="20"/>
          <w:szCs w:val="20"/>
        </w:rPr>
      </w:pPr>
    </w:p>
    <w:p w14:paraId="54A070AA" w14:textId="77777777" w:rsidR="00605B99" w:rsidRDefault="00605B99" w:rsidP="00605B99">
      <w:pPr>
        <w:jc w:val="both"/>
        <w:rPr>
          <w:rFonts w:ascii="DengXian" w:eastAsia="DengXian" w:hAnsi="DengXian"/>
          <w:sz w:val="20"/>
          <w:szCs w:val="20"/>
        </w:rPr>
      </w:pPr>
      <w:r>
        <w:rPr>
          <w:rFonts w:ascii="DengXian" w:eastAsia="DengXian" w:hAnsi="DengXian"/>
          <w:sz w:val="20"/>
          <w:szCs w:val="20"/>
        </w:rPr>
        <w:t xml:space="preserve">Ce calcul ne tient pas en compte les NOX produits par le trafic aérien et autoroutier. </w:t>
      </w:r>
    </w:p>
    <w:p w14:paraId="2A0EFC08" w14:textId="77777777" w:rsidR="00605B99" w:rsidRPr="004D2479" w:rsidRDefault="00605B99" w:rsidP="00605B99">
      <w:pPr>
        <w:jc w:val="both"/>
        <w:rPr>
          <w:rFonts w:ascii="DengXian" w:eastAsia="DengXian" w:hAnsi="DengXian"/>
          <w:sz w:val="20"/>
          <w:szCs w:val="20"/>
        </w:rPr>
      </w:pPr>
      <w:r w:rsidRPr="004D2479">
        <w:rPr>
          <w:rFonts w:ascii="DengXian" w:eastAsia="DengXian" w:hAnsi="DengXian"/>
          <w:sz w:val="20"/>
          <w:szCs w:val="20"/>
        </w:rPr>
        <w:t>D’après l’étude d’impact, l’émission des engins présents sur le chantier produirait 14kg/jour de NOX et le transport des déchets devrait engendrer environ 7.36kg/jour de NOX.</w:t>
      </w:r>
    </w:p>
    <w:p w14:paraId="1BE78351" w14:textId="77777777" w:rsidR="00605B99" w:rsidRDefault="00605B99" w:rsidP="00605B99">
      <w:pPr>
        <w:jc w:val="both"/>
        <w:rPr>
          <w:rFonts w:ascii="DengXian" w:eastAsia="DengXian" w:hAnsi="DengXian"/>
          <w:sz w:val="20"/>
          <w:szCs w:val="20"/>
        </w:rPr>
      </w:pPr>
      <w:r w:rsidRPr="004D2479">
        <w:rPr>
          <w:rFonts w:ascii="DengXian" w:eastAsia="DengXian" w:hAnsi="DengXian"/>
          <w:sz w:val="20"/>
          <w:szCs w:val="20"/>
        </w:rPr>
        <w:t>Nous nous retr</w:t>
      </w:r>
      <w:r>
        <w:rPr>
          <w:rFonts w:ascii="DengXian" w:eastAsia="DengXian" w:hAnsi="DengXian"/>
          <w:sz w:val="20"/>
          <w:szCs w:val="20"/>
        </w:rPr>
        <w:t>ouverions</w:t>
      </w:r>
      <w:r w:rsidRPr="004D2479">
        <w:rPr>
          <w:rFonts w:ascii="DengXian" w:eastAsia="DengXian" w:hAnsi="DengXian"/>
          <w:sz w:val="20"/>
          <w:szCs w:val="20"/>
        </w:rPr>
        <w:t xml:space="preserve"> donc avec plus du triple de NOX de ce qui est produit dans la région !</w:t>
      </w:r>
      <w:r>
        <w:rPr>
          <w:rFonts w:ascii="DengXian" w:eastAsia="DengXian" w:hAnsi="DengXian"/>
          <w:sz w:val="20"/>
          <w:szCs w:val="20"/>
        </w:rPr>
        <w:t xml:space="preserve"> </w:t>
      </w:r>
    </w:p>
    <w:p w14:paraId="1BA58E0C" w14:textId="77777777" w:rsidR="00605B99" w:rsidRPr="004D2479" w:rsidRDefault="00605B99" w:rsidP="00605B99">
      <w:pPr>
        <w:pStyle w:val="Pardfaut"/>
        <w:rPr>
          <w:rStyle w:val="Aucun"/>
          <w:rFonts w:ascii="DengXian" w:eastAsia="DengXian" w:hAnsi="DengXian"/>
          <w:color w:val="262B2F"/>
          <w:sz w:val="20"/>
          <w:szCs w:val="20"/>
          <w:u w:val="single" w:color="262B2F"/>
          <w:shd w:val="clear" w:color="auto" w:fill="FFFFFF"/>
        </w:rPr>
      </w:pPr>
      <w:r w:rsidRPr="004D2479">
        <w:rPr>
          <w:rStyle w:val="Aucun"/>
          <w:rFonts w:ascii="DengXian" w:eastAsia="DengXian" w:hAnsi="DengXian"/>
          <w:color w:val="262B2F"/>
          <w:sz w:val="20"/>
          <w:szCs w:val="20"/>
          <w:u w:val="single" w:color="262B2F"/>
          <w:shd w:val="clear" w:color="auto" w:fill="FFFFFF"/>
        </w:rPr>
        <w:t>Exposition aux oxydes d’azotes</w:t>
      </w:r>
      <w:r>
        <w:rPr>
          <w:rStyle w:val="Aucun"/>
          <w:rFonts w:ascii="DengXian" w:eastAsia="DengXian" w:hAnsi="DengXian"/>
          <w:color w:val="262B2F"/>
          <w:sz w:val="20"/>
          <w:szCs w:val="20"/>
          <w:u w:val="single" w:color="262B2F"/>
          <w:shd w:val="clear" w:color="auto" w:fill="FFFFFF"/>
        </w:rPr>
        <w:t> :</w:t>
      </w:r>
    </w:p>
    <w:p w14:paraId="3947311C" w14:textId="77777777" w:rsidR="00605B99" w:rsidRDefault="00605B99" w:rsidP="00605B99">
      <w:pPr>
        <w:pStyle w:val="Pardfaut"/>
        <w:rPr>
          <w:rStyle w:val="Aucun"/>
          <w:rFonts w:ascii="DengXian" w:eastAsia="DengXian" w:hAnsi="DengXian"/>
          <w:color w:val="262B2F"/>
          <w:sz w:val="20"/>
          <w:szCs w:val="20"/>
          <w:u w:color="262B2F"/>
          <w:shd w:val="clear" w:color="auto" w:fill="FFFFFF"/>
        </w:rPr>
      </w:pPr>
    </w:p>
    <w:p w14:paraId="7B33D556"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r w:rsidRPr="004D2479">
        <w:rPr>
          <w:rStyle w:val="Aucun"/>
          <w:rFonts w:ascii="DengXian" w:eastAsia="DengXian" w:hAnsi="DengXian"/>
          <w:color w:val="262B2F"/>
          <w:sz w:val="20"/>
          <w:szCs w:val="20"/>
          <w:u w:color="262B2F"/>
          <w:shd w:val="clear" w:color="auto" w:fill="FFFFFF"/>
        </w:rPr>
        <w:t>L’exposition aux oxydes d’azote peut détériorer la condition respiratoire.</w:t>
      </w:r>
    </w:p>
    <w:p w14:paraId="0E8C401A"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r w:rsidRPr="004D2479">
        <w:rPr>
          <w:rStyle w:val="Aucun"/>
          <w:rFonts w:ascii="DengXian" w:eastAsia="DengXian" w:hAnsi="DengXian"/>
          <w:color w:val="262B2F"/>
          <w:sz w:val="20"/>
          <w:szCs w:val="20"/>
          <w:u w:color="262B2F"/>
          <w:shd w:val="clear" w:color="auto" w:fill="FFFFFF"/>
        </w:rPr>
        <w:t>Les oxydes d’azote favorisent des problèmes respiratoires, une hyper-réactivité des bronches chez les asthmatiques, et une augmentation de la sensibilité des bronches aux infections microbiennes chez les enfants.</w:t>
      </w:r>
    </w:p>
    <w:p w14:paraId="3583E2AA"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r w:rsidRPr="004D2479">
        <w:rPr>
          <w:rStyle w:val="Aucun"/>
          <w:rFonts w:ascii="DengXian" w:eastAsia="DengXian" w:hAnsi="DengXian"/>
          <w:color w:val="262B2F"/>
          <w:sz w:val="20"/>
          <w:szCs w:val="20"/>
          <w:u w:color="262B2F"/>
          <w:shd w:val="clear" w:color="auto" w:fill="FFFFFF"/>
        </w:rPr>
        <w:t>Les enfants, les personnes âgées, les personnes asthmatiques et celles présentant une insuffisance respiratoire sont particulièrement sensibles à cette pollution.</w:t>
      </w:r>
    </w:p>
    <w:p w14:paraId="1F9B5699"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r w:rsidRPr="004D2479">
        <w:rPr>
          <w:rStyle w:val="Aucun"/>
          <w:rFonts w:ascii="DengXian" w:eastAsia="DengXian" w:hAnsi="DengXian"/>
          <w:color w:val="262B2F"/>
          <w:sz w:val="20"/>
          <w:szCs w:val="20"/>
          <w:u w:color="262B2F"/>
          <w:shd w:val="clear" w:color="auto" w:fill="FFFFFF"/>
        </w:rPr>
        <w:t>En cas d’exposition importante, une intoxication aigüe (toux, dyspnée, hémoptysies) est possible.</w:t>
      </w:r>
    </w:p>
    <w:p w14:paraId="2555DFF5"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p>
    <w:p w14:paraId="6A7D9291" w14:textId="77777777" w:rsidR="00605B99" w:rsidRPr="004D2479" w:rsidRDefault="00605B99" w:rsidP="00605B99">
      <w:pPr>
        <w:pStyle w:val="Pardfaut"/>
        <w:jc w:val="both"/>
        <w:rPr>
          <w:rStyle w:val="Aucun"/>
          <w:rFonts w:ascii="DengXian" w:eastAsia="DengXian" w:hAnsi="DengXian"/>
          <w:color w:val="262B2F"/>
          <w:sz w:val="20"/>
          <w:szCs w:val="20"/>
          <w:u w:color="262B2F"/>
          <w:shd w:val="clear" w:color="auto" w:fill="FFFFFF"/>
        </w:rPr>
      </w:pPr>
      <w:proofErr w:type="gramStart"/>
      <w:r w:rsidRPr="004D2479">
        <w:rPr>
          <w:rStyle w:val="Aucun"/>
          <w:rFonts w:ascii="DengXian" w:eastAsia="DengXian" w:hAnsi="DengXian"/>
          <w:color w:val="262B2F"/>
          <w:sz w:val="20"/>
          <w:szCs w:val="20"/>
          <w:u w:color="262B2F"/>
          <w:shd w:val="clear" w:color="auto" w:fill="FFFFFF"/>
        </w:rPr>
        <w:t>L’ oxyde</w:t>
      </w:r>
      <w:proofErr w:type="gramEnd"/>
      <w:r w:rsidRPr="004D2479">
        <w:rPr>
          <w:rStyle w:val="Aucun"/>
          <w:rFonts w:ascii="DengXian" w:eastAsia="DengXian" w:hAnsi="DengXian"/>
          <w:color w:val="262B2F"/>
          <w:sz w:val="20"/>
          <w:szCs w:val="20"/>
          <w:u w:color="262B2F"/>
          <w:shd w:val="clear" w:color="auto" w:fill="FFFFFF"/>
        </w:rPr>
        <w:t xml:space="preserve"> d’azote peut être transformé en ozone pendant l’été.</w:t>
      </w:r>
    </w:p>
    <w:p w14:paraId="6E6CB956" w14:textId="77777777" w:rsidR="001E2416" w:rsidRDefault="001E2416">
      <w:pPr>
        <w:rPr>
          <w:lang w:val="fr-FR"/>
        </w:rPr>
      </w:pPr>
    </w:p>
    <w:p w14:paraId="5C0F1153" w14:textId="77777777" w:rsidR="00324974" w:rsidRPr="009F1D6A" w:rsidRDefault="00324974" w:rsidP="00324974">
      <w:pPr>
        <w:jc w:val="both"/>
        <w:rPr>
          <w:rFonts w:ascii="DengXian" w:eastAsia="DengXian" w:hAnsi="DengXian"/>
          <w:b/>
          <w:bCs/>
          <w:sz w:val="20"/>
          <w:szCs w:val="20"/>
          <w:lang w:val="fr-FR"/>
        </w:rPr>
      </w:pPr>
    </w:p>
    <w:p w14:paraId="49188B5F" w14:textId="77777777" w:rsidR="00324974" w:rsidRPr="002D72B5" w:rsidRDefault="00324974" w:rsidP="00324974">
      <w:pPr>
        <w:jc w:val="both"/>
        <w:rPr>
          <w:rFonts w:ascii="DengXian" w:eastAsia="DengXian" w:hAnsi="DengXian"/>
          <w:b/>
          <w:bCs/>
          <w:sz w:val="20"/>
          <w:szCs w:val="20"/>
        </w:rPr>
      </w:pPr>
      <w:r w:rsidRPr="002D72B5">
        <w:rPr>
          <w:rFonts w:ascii="DengXian" w:eastAsia="DengXian" w:hAnsi="DengXian"/>
          <w:b/>
          <w:bCs/>
          <w:sz w:val="20"/>
          <w:szCs w:val="20"/>
        </w:rPr>
        <w:t>POUSSIERE EN SUSPENSION (PM10)</w:t>
      </w:r>
    </w:p>
    <w:p w14:paraId="4DA79CC5" w14:textId="77777777" w:rsidR="00324974" w:rsidRPr="008971DD" w:rsidRDefault="00324974" w:rsidP="00324974">
      <w:pPr>
        <w:jc w:val="both"/>
        <w:rPr>
          <w:rFonts w:ascii="DengXian" w:eastAsia="DengXian" w:hAnsi="DengXian"/>
          <w:sz w:val="20"/>
          <w:szCs w:val="20"/>
        </w:rPr>
      </w:pPr>
      <w:r w:rsidRPr="008971DD">
        <w:rPr>
          <w:rFonts w:ascii="DengXian" w:eastAsia="DengXian" w:hAnsi="DengXian"/>
          <w:sz w:val="20"/>
          <w:szCs w:val="20"/>
        </w:rPr>
        <w:t xml:space="preserve">Selon le rapport de la qualité de l’air 2018 publié par le service de l’air, du bruit et des rayonnements non ionisants à Genève, il est expliqué </w:t>
      </w:r>
      <w:r>
        <w:rPr>
          <w:rFonts w:ascii="DengXian" w:eastAsia="DengXian" w:hAnsi="DengXian"/>
          <w:sz w:val="20"/>
          <w:szCs w:val="20"/>
        </w:rPr>
        <w:t>l</w:t>
      </w:r>
      <w:r w:rsidRPr="008971DD">
        <w:rPr>
          <w:rFonts w:ascii="DengXian" w:eastAsia="DengXian" w:hAnsi="DengXian"/>
          <w:sz w:val="20"/>
          <w:szCs w:val="20"/>
        </w:rPr>
        <w:t xml:space="preserve">es caractéristiques ainsi que les effets nocifs sur la santé dû à une exposition </w:t>
      </w:r>
      <w:proofErr w:type="gramStart"/>
      <w:r w:rsidRPr="008971DD">
        <w:rPr>
          <w:rFonts w:ascii="DengXian" w:eastAsia="DengXian" w:hAnsi="DengXian"/>
          <w:sz w:val="20"/>
          <w:szCs w:val="20"/>
        </w:rPr>
        <w:t xml:space="preserve">au </w:t>
      </w:r>
      <w:r>
        <w:rPr>
          <w:rFonts w:ascii="DengXian" w:eastAsia="DengXian" w:hAnsi="DengXian"/>
          <w:sz w:val="20"/>
          <w:szCs w:val="20"/>
        </w:rPr>
        <w:t>poussières</w:t>
      </w:r>
      <w:proofErr w:type="gramEnd"/>
      <w:r>
        <w:rPr>
          <w:rFonts w:ascii="DengXian" w:eastAsia="DengXian" w:hAnsi="DengXian"/>
          <w:sz w:val="20"/>
          <w:szCs w:val="20"/>
        </w:rPr>
        <w:t xml:space="preserve"> en suspension</w:t>
      </w:r>
      <w:r w:rsidRPr="008971DD">
        <w:rPr>
          <w:rFonts w:ascii="DengXian" w:eastAsia="DengXian" w:hAnsi="DengXian"/>
          <w:sz w:val="20"/>
          <w:szCs w:val="20"/>
        </w:rPr>
        <w:t> :</w:t>
      </w:r>
    </w:p>
    <w:p w14:paraId="32360291" w14:textId="77777777" w:rsidR="00324974" w:rsidRDefault="00324974" w:rsidP="00324974">
      <w:pPr>
        <w:jc w:val="center"/>
      </w:pPr>
      <w:r>
        <w:rPr>
          <w:noProof/>
        </w:rPr>
        <w:lastRenderedPageBreak/>
        <w:drawing>
          <wp:inline distT="0" distB="0" distL="0" distR="0" wp14:anchorId="5D7ADFAF" wp14:editId="4DE427DF">
            <wp:extent cx="5419727" cy="4781550"/>
            <wp:effectExtent l="0" t="0" r="952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20358" cy="4782107"/>
                    </a:xfrm>
                    <a:prstGeom prst="rect">
                      <a:avLst/>
                    </a:prstGeom>
                  </pic:spPr>
                </pic:pic>
              </a:graphicData>
            </a:graphic>
          </wp:inline>
        </w:drawing>
      </w:r>
    </w:p>
    <w:p w14:paraId="5D0D35B6" w14:textId="77777777" w:rsidR="00324974" w:rsidRDefault="00324974" w:rsidP="00324974">
      <w:pPr>
        <w:jc w:val="center"/>
        <w:rPr>
          <w:rFonts w:ascii="DengXian" w:eastAsia="DengXian" w:hAnsi="DengXi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D27A6E" w14:textId="77777777" w:rsidR="00324974" w:rsidRPr="001F42C3" w:rsidRDefault="00324974" w:rsidP="00324974">
      <w:pPr>
        <w:rPr>
          <w:rFonts w:ascii="DengXian" w:eastAsia="DengXian" w:hAnsi="DengXian"/>
          <w:sz w:val="20"/>
          <w:szCs w:val="20"/>
        </w:rPr>
      </w:pPr>
      <w:r>
        <w:rPr>
          <w:rFonts w:ascii="DengXian" w:eastAsia="DengXian" w:hAnsi="DengXian"/>
          <w:sz w:val="20"/>
          <w:szCs w:val="20"/>
        </w:rPr>
        <w:t>Sauf erreur de notre part, l’étude d’impact n’indique pas les valeurs actuelles de PM10 dans la région.</w:t>
      </w:r>
    </w:p>
    <w:p w14:paraId="4BAFBCB4" w14:textId="77777777" w:rsidR="00324974" w:rsidRPr="001F42C3" w:rsidRDefault="00324974" w:rsidP="00324974">
      <w:pPr>
        <w:rPr>
          <w:sz w:val="20"/>
          <w:szCs w:val="20"/>
        </w:rPr>
      </w:pPr>
      <w:r w:rsidRPr="001F42C3">
        <w:rPr>
          <w:rFonts w:ascii="DengXian" w:eastAsia="DengXian" w:hAnsi="DengXian"/>
          <w:sz w:val="20"/>
          <w:szCs w:val="20"/>
        </w:rPr>
        <w:t xml:space="preserve">Les mesures détaillées </w:t>
      </w:r>
      <w:r>
        <w:rPr>
          <w:rFonts w:ascii="DengXian" w:eastAsia="DengXian" w:hAnsi="DengXian"/>
          <w:sz w:val="20"/>
          <w:szCs w:val="20"/>
        </w:rPr>
        <w:t>des poussières en suspension</w:t>
      </w:r>
      <w:r w:rsidRPr="001F42C3">
        <w:rPr>
          <w:rFonts w:ascii="DengXian" w:eastAsia="DengXian" w:hAnsi="DengXian"/>
          <w:sz w:val="20"/>
          <w:szCs w:val="20"/>
        </w:rPr>
        <w:t xml:space="preserve"> par station obtenues pour l’année 2018 sont les suivantes : </w:t>
      </w:r>
    </w:p>
    <w:p w14:paraId="2FE73110" w14:textId="77777777" w:rsidR="00324974" w:rsidRDefault="006E1CB8" w:rsidP="00324974">
      <w:pPr>
        <w:rPr>
          <w:rFonts w:ascii="DengXian" w:eastAsia="DengXian" w:hAnsi="DengXian"/>
        </w:rPr>
      </w:pPr>
      <w:r>
        <w:rPr>
          <w:noProof/>
        </w:rPr>
        <w:drawing>
          <wp:inline distT="0" distB="0" distL="0" distR="0" wp14:anchorId="44DA740C" wp14:editId="0BA2C8A1">
            <wp:extent cx="5759450" cy="1273175"/>
            <wp:effectExtent l="0" t="0" r="0" b="317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1273175"/>
                    </a:xfrm>
                    <a:prstGeom prst="rect">
                      <a:avLst/>
                    </a:prstGeom>
                  </pic:spPr>
                </pic:pic>
              </a:graphicData>
            </a:graphic>
          </wp:inline>
        </w:drawing>
      </w:r>
    </w:p>
    <w:p w14:paraId="53520D53" w14:textId="77777777" w:rsidR="00324974" w:rsidRDefault="00324974" w:rsidP="00324974">
      <w:pPr>
        <w:jc w:val="center"/>
        <w:rPr>
          <w:rFonts w:ascii="DengXian" w:eastAsia="DengXian" w:hAnsi="DengXian"/>
        </w:rPr>
      </w:pPr>
      <w:r w:rsidRPr="00B22FF5">
        <w:rPr>
          <w:rFonts w:ascii="DengXian" w:eastAsia="DengXian" w:hAnsi="DengXi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Tableau no </w:t>
      </w:r>
      <w:r>
        <w:rPr>
          <w:rFonts w:ascii="DengXian" w:eastAsia="DengXian" w:hAnsi="DengXi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0DD6132E" w14:textId="77777777" w:rsidR="00324974" w:rsidRDefault="00324974" w:rsidP="00324974">
      <w:pPr>
        <w:rPr>
          <w:rFonts w:ascii="DengXian" w:eastAsia="DengXian" w:hAnsi="DengXian"/>
          <w:sz w:val="20"/>
          <w:szCs w:val="20"/>
        </w:rPr>
      </w:pPr>
      <w:r w:rsidRPr="001F42C3">
        <w:rPr>
          <w:rFonts w:ascii="DengXian" w:eastAsia="DengXian" w:hAnsi="DengXian"/>
          <w:sz w:val="20"/>
          <w:szCs w:val="20"/>
        </w:rPr>
        <w:t>Nous remarquons que les valeurs d’</w:t>
      </w:r>
      <w:proofErr w:type="spellStart"/>
      <w:r w:rsidRPr="001F42C3">
        <w:rPr>
          <w:rFonts w:ascii="DengXian" w:eastAsia="DengXian" w:hAnsi="DengXian"/>
          <w:sz w:val="20"/>
          <w:szCs w:val="20"/>
        </w:rPr>
        <w:t>immision</w:t>
      </w:r>
      <w:proofErr w:type="spellEnd"/>
      <w:r w:rsidRPr="001F42C3">
        <w:rPr>
          <w:rFonts w:ascii="DengXian" w:eastAsia="DengXian" w:hAnsi="DengXian"/>
          <w:sz w:val="20"/>
          <w:szCs w:val="20"/>
        </w:rPr>
        <w:t xml:space="preserve"> les plus importantes de </w:t>
      </w:r>
      <w:r>
        <w:rPr>
          <w:rFonts w:ascii="DengXian" w:eastAsia="DengXian" w:hAnsi="DengXian"/>
          <w:sz w:val="20"/>
          <w:szCs w:val="20"/>
        </w:rPr>
        <w:t>PM10</w:t>
      </w:r>
      <w:r w:rsidRPr="001F42C3">
        <w:rPr>
          <w:rFonts w:ascii="DengXian" w:eastAsia="DengXian" w:hAnsi="DengXian"/>
          <w:sz w:val="20"/>
          <w:szCs w:val="20"/>
        </w:rPr>
        <w:t xml:space="preserve"> se situent dans la région de la gare Cornavin (Necker)</w:t>
      </w:r>
      <w:r>
        <w:rPr>
          <w:rFonts w:ascii="DengXian" w:eastAsia="DengXian" w:hAnsi="DengXian"/>
          <w:sz w:val="20"/>
          <w:szCs w:val="20"/>
        </w:rPr>
        <w:t xml:space="preserve">, Foron à Thônex </w:t>
      </w:r>
      <w:r w:rsidRPr="001F42C3">
        <w:rPr>
          <w:rFonts w:ascii="DengXian" w:eastAsia="DengXian" w:hAnsi="DengXian"/>
          <w:sz w:val="20"/>
          <w:szCs w:val="20"/>
        </w:rPr>
        <w:t>et l’aéroport de Genève cara</w:t>
      </w:r>
      <w:r>
        <w:rPr>
          <w:rFonts w:ascii="DengXian" w:eastAsia="DengXian" w:hAnsi="DengXian"/>
          <w:sz w:val="20"/>
          <w:szCs w:val="20"/>
        </w:rPr>
        <w:t>c</w:t>
      </w:r>
      <w:r w:rsidRPr="001F42C3">
        <w:rPr>
          <w:rFonts w:ascii="DengXian" w:eastAsia="DengXian" w:hAnsi="DengXian"/>
          <w:sz w:val="20"/>
          <w:szCs w:val="20"/>
        </w:rPr>
        <w:t xml:space="preserve">térisé par la proximité de l’autoroute. </w:t>
      </w:r>
      <w:r>
        <w:rPr>
          <w:rFonts w:ascii="DengXian" w:eastAsia="DengXian" w:hAnsi="DengXian"/>
          <w:sz w:val="20"/>
          <w:szCs w:val="20"/>
        </w:rPr>
        <w:t xml:space="preserve"> </w:t>
      </w:r>
    </w:p>
    <w:p w14:paraId="68AA8002" w14:textId="77777777" w:rsidR="00324974" w:rsidRDefault="00324974" w:rsidP="00324974">
      <w:pPr>
        <w:jc w:val="both"/>
        <w:rPr>
          <w:rFonts w:ascii="DengXian" w:eastAsia="DengXian" w:hAnsi="DengXian"/>
          <w:sz w:val="20"/>
          <w:szCs w:val="20"/>
        </w:rPr>
      </w:pPr>
      <w:r w:rsidRPr="001F42C3">
        <w:rPr>
          <w:rFonts w:ascii="DengXian" w:eastAsia="DengXian" w:hAnsi="DengXian"/>
          <w:sz w:val="20"/>
          <w:szCs w:val="20"/>
        </w:rPr>
        <w:t>Les valeurs limites d'</w:t>
      </w:r>
      <w:proofErr w:type="spellStart"/>
      <w:r w:rsidRPr="001F42C3">
        <w:rPr>
          <w:rFonts w:ascii="DengXian" w:eastAsia="DengXian" w:hAnsi="DengXian"/>
          <w:sz w:val="20"/>
          <w:szCs w:val="20"/>
        </w:rPr>
        <w:t>immission</w:t>
      </w:r>
      <w:proofErr w:type="spellEnd"/>
      <w:r w:rsidRPr="001F42C3">
        <w:rPr>
          <w:rFonts w:ascii="DengXian" w:eastAsia="DengXian" w:hAnsi="DengXian"/>
          <w:sz w:val="20"/>
          <w:szCs w:val="20"/>
        </w:rPr>
        <w:t xml:space="preserve"> selon la loi suisse (</w:t>
      </w:r>
      <w:proofErr w:type="spellStart"/>
      <w:r w:rsidRPr="001F42C3">
        <w:rPr>
          <w:rFonts w:ascii="DengXian" w:eastAsia="DengXian" w:hAnsi="DengXian"/>
          <w:sz w:val="20"/>
          <w:szCs w:val="20"/>
        </w:rPr>
        <w:t>VLIOPair</w:t>
      </w:r>
      <w:proofErr w:type="spellEnd"/>
      <w:r w:rsidRPr="001F42C3">
        <w:rPr>
          <w:rFonts w:ascii="DengXian" w:eastAsia="DengXian" w:hAnsi="DengXian"/>
          <w:sz w:val="20"/>
          <w:szCs w:val="20"/>
        </w:rPr>
        <w:t>) pour le</w:t>
      </w:r>
      <w:r>
        <w:rPr>
          <w:rFonts w:ascii="DengXian" w:eastAsia="DengXian" w:hAnsi="DengXian"/>
          <w:sz w:val="20"/>
          <w:szCs w:val="20"/>
        </w:rPr>
        <w:t xml:space="preserve">s poussières en suspension </w:t>
      </w:r>
      <w:r w:rsidRPr="001F42C3">
        <w:rPr>
          <w:rFonts w:ascii="DengXian" w:eastAsia="DengXian" w:hAnsi="DengXian"/>
          <w:sz w:val="20"/>
          <w:szCs w:val="20"/>
        </w:rPr>
        <w:t>sont les suivantes (extrait du rapport sur la qualité de l’air 2018 – état de Genève)</w:t>
      </w:r>
    </w:p>
    <w:p w14:paraId="6FFDC4AF" w14:textId="77777777" w:rsidR="00324974" w:rsidRPr="001F42C3" w:rsidRDefault="00324974" w:rsidP="00324974">
      <w:pPr>
        <w:jc w:val="both"/>
        <w:rPr>
          <w:rFonts w:ascii="DengXian" w:eastAsia="DengXian" w:hAnsi="DengXian"/>
          <w:sz w:val="20"/>
          <w:szCs w:val="20"/>
        </w:rPr>
      </w:pPr>
      <w:r>
        <w:rPr>
          <w:noProof/>
        </w:rPr>
        <w:lastRenderedPageBreak/>
        <w:drawing>
          <wp:inline distT="0" distB="0" distL="0" distR="0" wp14:anchorId="7EF77AE9" wp14:editId="77334636">
            <wp:extent cx="5759450" cy="452120"/>
            <wp:effectExtent l="0" t="0" r="0" b="508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452120"/>
                    </a:xfrm>
                    <a:prstGeom prst="rect">
                      <a:avLst/>
                    </a:prstGeom>
                  </pic:spPr>
                </pic:pic>
              </a:graphicData>
            </a:graphic>
          </wp:inline>
        </w:drawing>
      </w:r>
    </w:p>
    <w:p w14:paraId="756F665B" w14:textId="77777777" w:rsidR="00324974" w:rsidRDefault="00324974" w:rsidP="00324974">
      <w:pPr>
        <w:rPr>
          <w:rFonts w:ascii="DengXian" w:eastAsia="DengXian" w:hAnsi="DengXian"/>
        </w:rPr>
      </w:pPr>
      <w:r>
        <w:rPr>
          <w:noProof/>
        </w:rPr>
        <w:drawing>
          <wp:inline distT="0" distB="0" distL="0" distR="0" wp14:anchorId="05197258" wp14:editId="3C443CA9">
            <wp:extent cx="5759450" cy="124079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1240790"/>
                    </a:xfrm>
                    <a:prstGeom prst="rect">
                      <a:avLst/>
                    </a:prstGeom>
                  </pic:spPr>
                </pic:pic>
              </a:graphicData>
            </a:graphic>
          </wp:inline>
        </w:drawing>
      </w:r>
    </w:p>
    <w:p w14:paraId="4DB6A9C4" w14:textId="77777777" w:rsidR="00324974" w:rsidRPr="001E79BF" w:rsidRDefault="00324974" w:rsidP="00324974">
      <w:pPr>
        <w:jc w:val="both"/>
        <w:rPr>
          <w:rFonts w:ascii="DengXian" w:eastAsia="DengXian" w:hAnsi="DengXian"/>
          <w:sz w:val="20"/>
          <w:szCs w:val="20"/>
        </w:rPr>
      </w:pPr>
      <w:r w:rsidRPr="001E79BF">
        <w:rPr>
          <w:rFonts w:ascii="DengXian" w:eastAsia="DengXian" w:hAnsi="DengXian"/>
          <w:sz w:val="20"/>
          <w:szCs w:val="20"/>
        </w:rPr>
        <w:t>Les entreprises prétendent que les particules fines seront uniquement issues du trafic autoroutier</w:t>
      </w:r>
      <w:r>
        <w:rPr>
          <w:rFonts w:ascii="DengXian" w:eastAsia="DengXian" w:hAnsi="DengXian"/>
          <w:sz w:val="20"/>
          <w:szCs w:val="20"/>
        </w:rPr>
        <w:t xml:space="preserve"> et les engins de chantier</w:t>
      </w:r>
      <w:r w:rsidRPr="001E79BF">
        <w:rPr>
          <w:rFonts w:ascii="DengXian" w:eastAsia="DengXian" w:hAnsi="DengXian"/>
          <w:sz w:val="20"/>
          <w:szCs w:val="20"/>
        </w:rPr>
        <w:t>.</w:t>
      </w:r>
      <w:r>
        <w:rPr>
          <w:rFonts w:ascii="DengXian" w:eastAsia="DengXian" w:hAnsi="DengXian"/>
          <w:sz w:val="20"/>
          <w:szCs w:val="20"/>
        </w:rPr>
        <w:t xml:space="preserve"> </w:t>
      </w:r>
      <w:r w:rsidRPr="001E79BF">
        <w:rPr>
          <w:rFonts w:ascii="DengXian" w:eastAsia="DengXian" w:hAnsi="DengXian"/>
          <w:sz w:val="20"/>
          <w:szCs w:val="20"/>
        </w:rPr>
        <w:t xml:space="preserve">Contrairement à cette affirmation, </w:t>
      </w:r>
      <w:r w:rsidRPr="001E79BF">
        <w:rPr>
          <w:rFonts w:ascii="DengXian" w:eastAsia="DengXian" w:hAnsi="DengXian"/>
          <w:b/>
          <w:bCs/>
          <w:sz w:val="20"/>
          <w:szCs w:val="20"/>
        </w:rPr>
        <w:t xml:space="preserve">les particules fines seront </w:t>
      </w:r>
      <w:r>
        <w:rPr>
          <w:rFonts w:ascii="DengXian" w:eastAsia="DengXian" w:hAnsi="DengXian"/>
          <w:b/>
          <w:bCs/>
          <w:sz w:val="20"/>
          <w:szCs w:val="20"/>
        </w:rPr>
        <w:t xml:space="preserve">également </w:t>
      </w:r>
      <w:r w:rsidR="006E1CB8">
        <w:rPr>
          <w:rFonts w:ascii="DengXian" w:eastAsia="DengXian" w:hAnsi="DengXian"/>
          <w:b/>
          <w:bCs/>
          <w:sz w:val="20"/>
          <w:szCs w:val="20"/>
        </w:rPr>
        <w:t xml:space="preserve">ET SURTOUT </w:t>
      </w:r>
      <w:r w:rsidRPr="001E79BF">
        <w:rPr>
          <w:rFonts w:ascii="DengXian" w:eastAsia="DengXian" w:hAnsi="DengXian"/>
          <w:b/>
          <w:bCs/>
          <w:sz w:val="20"/>
          <w:szCs w:val="20"/>
        </w:rPr>
        <w:t xml:space="preserve">dispersées </w:t>
      </w:r>
      <w:r>
        <w:rPr>
          <w:rFonts w:ascii="DengXian" w:eastAsia="DengXian" w:hAnsi="DengXian"/>
          <w:b/>
          <w:bCs/>
          <w:sz w:val="20"/>
          <w:szCs w:val="20"/>
        </w:rPr>
        <w:t>p</w:t>
      </w:r>
      <w:r w:rsidRPr="001E79BF">
        <w:rPr>
          <w:rFonts w:ascii="DengXian" w:eastAsia="DengXian" w:hAnsi="DengXian"/>
          <w:b/>
          <w:bCs/>
          <w:sz w:val="20"/>
          <w:szCs w:val="20"/>
        </w:rPr>
        <w:t>a</w:t>
      </w:r>
      <w:r>
        <w:rPr>
          <w:rFonts w:ascii="DengXian" w:eastAsia="DengXian" w:hAnsi="DengXian"/>
          <w:b/>
          <w:bCs/>
          <w:sz w:val="20"/>
          <w:szCs w:val="20"/>
        </w:rPr>
        <w:t>r l</w:t>
      </w:r>
      <w:r w:rsidRPr="001E79BF">
        <w:rPr>
          <w:rFonts w:ascii="DengXian" w:eastAsia="DengXian" w:hAnsi="DengXian"/>
          <w:b/>
          <w:bCs/>
          <w:sz w:val="20"/>
          <w:szCs w:val="20"/>
        </w:rPr>
        <w:t>es matériaux inertes</w:t>
      </w:r>
      <w:r>
        <w:rPr>
          <w:rFonts w:ascii="DengXian" w:eastAsia="DengXian" w:hAnsi="DengXian"/>
          <w:b/>
          <w:bCs/>
          <w:sz w:val="20"/>
          <w:szCs w:val="20"/>
        </w:rPr>
        <w:t xml:space="preserve"> </w:t>
      </w:r>
      <w:r w:rsidRPr="001E79BF">
        <w:rPr>
          <w:rFonts w:ascii="DengXian" w:eastAsia="DengXian" w:hAnsi="DengXian"/>
          <w:b/>
          <w:bCs/>
          <w:sz w:val="20"/>
          <w:szCs w:val="20"/>
        </w:rPr>
        <w:t>d’excavation</w:t>
      </w:r>
      <w:r w:rsidRPr="001E79BF">
        <w:rPr>
          <w:rFonts w:ascii="DengXian" w:eastAsia="DengXian" w:hAnsi="DengXian"/>
          <w:sz w:val="20"/>
          <w:szCs w:val="20"/>
        </w:rPr>
        <w:t xml:space="preserve">. </w:t>
      </w:r>
    </w:p>
    <w:p w14:paraId="739BB604" w14:textId="77777777" w:rsidR="00324974" w:rsidRDefault="00324974" w:rsidP="00324974">
      <w:pPr>
        <w:jc w:val="both"/>
        <w:rPr>
          <w:rFonts w:ascii="DengXian" w:eastAsia="DengXian" w:hAnsi="DengXian"/>
          <w:sz w:val="20"/>
          <w:szCs w:val="20"/>
        </w:rPr>
      </w:pPr>
      <w:r>
        <w:rPr>
          <w:rFonts w:ascii="DengXian" w:eastAsia="DengXian" w:hAnsi="DengXian"/>
          <w:sz w:val="20"/>
          <w:szCs w:val="20"/>
        </w:rPr>
        <w:t>L’étude d’impact avance une moyenne journalière de 11'200 véhicules par jour sans la décharge. Si nous prenons en considération ce nombre, voici ce qui est produit comme PM10 dans la région avant la décharge :</w:t>
      </w:r>
    </w:p>
    <w:tbl>
      <w:tblPr>
        <w:tblW w:w="9920" w:type="dxa"/>
        <w:tblCellMar>
          <w:left w:w="70" w:type="dxa"/>
          <w:right w:w="70" w:type="dxa"/>
        </w:tblCellMar>
        <w:tblLook w:val="04A0" w:firstRow="1" w:lastRow="0" w:firstColumn="1" w:lastColumn="0" w:noHBand="0" w:noVBand="1"/>
      </w:tblPr>
      <w:tblGrid>
        <w:gridCol w:w="5543"/>
        <w:gridCol w:w="1082"/>
        <w:gridCol w:w="961"/>
        <w:gridCol w:w="250"/>
        <w:gridCol w:w="1082"/>
        <w:gridCol w:w="1002"/>
      </w:tblGrid>
      <w:tr w:rsidR="00324974" w:rsidRPr="001E79BF" w14:paraId="77EB1FAB" w14:textId="77777777" w:rsidTr="00674F2E">
        <w:trPr>
          <w:trHeight w:val="300"/>
        </w:trPr>
        <w:tc>
          <w:tcPr>
            <w:tcW w:w="992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2B449" w14:textId="77777777" w:rsidR="00324974" w:rsidRPr="001E79BF" w:rsidRDefault="00324974" w:rsidP="00674F2E">
            <w:pPr>
              <w:spacing w:after="0" w:line="240" w:lineRule="auto"/>
              <w:jc w:val="center"/>
              <w:rPr>
                <w:rFonts w:ascii="Calibri" w:eastAsia="Times New Roman" w:hAnsi="Calibri" w:cs="Calibri"/>
                <w:b/>
                <w:bCs/>
                <w:color w:val="000000"/>
                <w:lang w:eastAsia="fr-CH"/>
              </w:rPr>
            </w:pPr>
            <w:r w:rsidRPr="001E79BF">
              <w:rPr>
                <w:rFonts w:ascii="Calibri" w:eastAsia="Times New Roman" w:hAnsi="Calibri" w:cs="Calibri"/>
                <w:b/>
                <w:bCs/>
                <w:color w:val="000000"/>
                <w:lang w:eastAsia="fr-CH"/>
              </w:rPr>
              <w:t xml:space="preserve">RECALCUL, EMISSION NOX </w:t>
            </w:r>
            <w:proofErr w:type="gramStart"/>
            <w:r w:rsidRPr="001E79BF">
              <w:rPr>
                <w:rFonts w:ascii="Calibri" w:eastAsia="Times New Roman" w:hAnsi="Calibri" w:cs="Calibri"/>
                <w:b/>
                <w:bCs/>
                <w:color w:val="000000"/>
                <w:lang w:eastAsia="fr-CH"/>
              </w:rPr>
              <w:t>PAR  JOUR</w:t>
            </w:r>
            <w:proofErr w:type="gramEnd"/>
            <w:r w:rsidRPr="001E79BF">
              <w:rPr>
                <w:rFonts w:ascii="Calibri" w:eastAsia="Times New Roman" w:hAnsi="Calibri" w:cs="Calibri"/>
                <w:b/>
                <w:bCs/>
                <w:color w:val="000000"/>
                <w:lang w:eastAsia="fr-CH"/>
              </w:rPr>
              <w:t xml:space="preserve"> POUR 1KM TRONCON</w:t>
            </w:r>
          </w:p>
        </w:tc>
      </w:tr>
      <w:tr w:rsidR="00324974" w:rsidRPr="001E79BF" w14:paraId="46557FD6" w14:textId="77777777" w:rsidTr="00674F2E">
        <w:trPr>
          <w:trHeight w:val="1155"/>
        </w:trPr>
        <w:tc>
          <w:tcPr>
            <w:tcW w:w="5557" w:type="dxa"/>
            <w:tcBorders>
              <w:top w:val="nil"/>
              <w:left w:val="single" w:sz="4" w:space="0" w:color="auto"/>
              <w:bottom w:val="single" w:sz="4" w:space="0" w:color="auto"/>
              <w:right w:val="single" w:sz="4" w:space="0" w:color="auto"/>
            </w:tcBorders>
            <w:shd w:val="clear" w:color="000000" w:fill="B4C6E7"/>
            <w:vAlign w:val="center"/>
            <w:hideMark/>
          </w:tcPr>
          <w:p w14:paraId="122AEA72" w14:textId="77777777" w:rsidR="00324974" w:rsidRPr="001E79BF" w:rsidRDefault="00324974" w:rsidP="00674F2E">
            <w:pPr>
              <w:spacing w:after="0" w:line="240" w:lineRule="auto"/>
              <w:jc w:val="center"/>
              <w:rPr>
                <w:rFonts w:ascii="Calibri" w:eastAsia="Times New Roman" w:hAnsi="Calibri" w:cs="Calibri"/>
                <w:color w:val="000000"/>
                <w:lang w:eastAsia="fr-CH"/>
              </w:rPr>
            </w:pPr>
            <w:r w:rsidRPr="001E79BF">
              <w:rPr>
                <w:rFonts w:ascii="Calibri" w:eastAsia="Times New Roman" w:hAnsi="Calibri" w:cs="Calibri"/>
                <w:color w:val="000000"/>
                <w:lang w:eastAsia="fr-CH"/>
              </w:rPr>
              <w:t xml:space="preserve">Voitures par jour 11'200 </w:t>
            </w:r>
            <w:proofErr w:type="spellStart"/>
            <w:r w:rsidRPr="001E79BF">
              <w:rPr>
                <w:rFonts w:ascii="Calibri" w:eastAsia="Times New Roman" w:hAnsi="Calibri" w:cs="Calibri"/>
                <w:color w:val="000000"/>
                <w:lang w:eastAsia="fr-CH"/>
              </w:rPr>
              <w:t>vhc</w:t>
            </w:r>
            <w:proofErr w:type="spellEnd"/>
            <w:r w:rsidRPr="001E79BF">
              <w:rPr>
                <w:rFonts w:ascii="Calibri" w:eastAsia="Times New Roman" w:hAnsi="Calibri" w:cs="Calibri"/>
                <w:color w:val="000000"/>
                <w:lang w:eastAsia="fr-CH"/>
              </w:rPr>
              <w:t>/j sur une base d'</w:t>
            </w:r>
            <w:proofErr w:type="spellStart"/>
            <w:r w:rsidRPr="001E79BF">
              <w:rPr>
                <w:rFonts w:ascii="Calibri" w:eastAsia="Times New Roman" w:hAnsi="Calibri" w:cs="Calibri"/>
                <w:color w:val="000000"/>
                <w:lang w:eastAsia="fr-CH"/>
              </w:rPr>
              <w:t>immission</w:t>
            </w:r>
            <w:proofErr w:type="spellEnd"/>
            <w:r w:rsidRPr="001E79BF">
              <w:rPr>
                <w:rFonts w:ascii="Calibri" w:eastAsia="Times New Roman" w:hAnsi="Calibri" w:cs="Calibri"/>
                <w:color w:val="000000"/>
                <w:lang w:eastAsia="fr-CH"/>
              </w:rPr>
              <w:t xml:space="preserve"> par véhicule de 0,</w:t>
            </w:r>
            <w:r>
              <w:rPr>
                <w:rFonts w:ascii="Calibri" w:eastAsia="Times New Roman" w:hAnsi="Calibri" w:cs="Calibri"/>
                <w:color w:val="000000"/>
                <w:lang w:eastAsia="fr-CH"/>
              </w:rPr>
              <w:t>026</w:t>
            </w:r>
            <w:r w:rsidRPr="001E79BF">
              <w:rPr>
                <w:rFonts w:ascii="Calibri" w:eastAsia="Times New Roman" w:hAnsi="Calibri" w:cs="Calibri"/>
                <w:color w:val="000000"/>
                <w:lang w:eastAsia="fr-CH"/>
              </w:rPr>
              <w:t>gr/km (Euro 6 essence)</w:t>
            </w:r>
          </w:p>
        </w:tc>
        <w:tc>
          <w:tcPr>
            <w:tcW w:w="1082" w:type="dxa"/>
            <w:tcBorders>
              <w:top w:val="nil"/>
              <w:left w:val="nil"/>
              <w:bottom w:val="single" w:sz="4" w:space="0" w:color="auto"/>
              <w:right w:val="single" w:sz="4" w:space="0" w:color="auto"/>
            </w:tcBorders>
            <w:shd w:val="clear" w:color="000000" w:fill="B4C6E7"/>
            <w:noWrap/>
            <w:vAlign w:val="center"/>
            <w:hideMark/>
          </w:tcPr>
          <w:p w14:paraId="1370CCB1" w14:textId="77777777" w:rsidR="00324974" w:rsidRPr="001E79BF" w:rsidRDefault="00324974" w:rsidP="00674F2E">
            <w:pPr>
              <w:spacing w:after="0" w:line="240" w:lineRule="auto"/>
              <w:jc w:val="center"/>
              <w:rPr>
                <w:rFonts w:ascii="Calibri" w:eastAsia="Times New Roman" w:hAnsi="Calibri" w:cs="Calibri"/>
                <w:color w:val="000000"/>
                <w:lang w:eastAsia="fr-CH"/>
              </w:rPr>
            </w:pPr>
            <w:r w:rsidRPr="001E79BF">
              <w:rPr>
                <w:rFonts w:ascii="Calibri" w:eastAsia="Times New Roman" w:hAnsi="Calibri" w:cs="Calibri"/>
                <w:color w:val="000000"/>
                <w:lang w:eastAsia="fr-CH"/>
              </w:rPr>
              <w:t>291,20</w:t>
            </w:r>
          </w:p>
        </w:tc>
        <w:tc>
          <w:tcPr>
            <w:tcW w:w="961" w:type="dxa"/>
            <w:tcBorders>
              <w:top w:val="nil"/>
              <w:left w:val="nil"/>
              <w:bottom w:val="single" w:sz="4" w:space="0" w:color="auto"/>
              <w:right w:val="single" w:sz="4" w:space="0" w:color="auto"/>
            </w:tcBorders>
            <w:shd w:val="clear" w:color="000000" w:fill="B4C6E7"/>
            <w:noWrap/>
            <w:vAlign w:val="center"/>
            <w:hideMark/>
          </w:tcPr>
          <w:p w14:paraId="69695B65" w14:textId="77777777" w:rsidR="00324974" w:rsidRPr="001E79BF" w:rsidRDefault="00324974" w:rsidP="00674F2E">
            <w:pPr>
              <w:spacing w:after="0" w:line="240" w:lineRule="auto"/>
              <w:jc w:val="center"/>
              <w:rPr>
                <w:rFonts w:ascii="Calibri" w:eastAsia="Times New Roman" w:hAnsi="Calibri" w:cs="Calibri"/>
                <w:color w:val="000000"/>
                <w:lang w:eastAsia="fr-CH"/>
              </w:rPr>
            </w:pPr>
            <w:proofErr w:type="gramStart"/>
            <w:r w:rsidRPr="001E79BF">
              <w:rPr>
                <w:rFonts w:ascii="Calibri" w:eastAsia="Times New Roman" w:hAnsi="Calibri" w:cs="Calibri"/>
                <w:color w:val="000000"/>
                <w:lang w:eastAsia="fr-CH"/>
              </w:rPr>
              <w:t>gr</w:t>
            </w:r>
            <w:proofErr w:type="gramEnd"/>
            <w:r w:rsidRPr="001E79BF">
              <w:rPr>
                <w:rFonts w:ascii="Calibri" w:eastAsia="Times New Roman" w:hAnsi="Calibri" w:cs="Calibri"/>
                <w:color w:val="000000"/>
                <w:lang w:eastAsia="fr-CH"/>
              </w:rPr>
              <w:t>/km</w:t>
            </w:r>
          </w:p>
        </w:tc>
        <w:tc>
          <w:tcPr>
            <w:tcW w:w="236" w:type="dxa"/>
            <w:tcBorders>
              <w:top w:val="nil"/>
              <w:left w:val="nil"/>
              <w:bottom w:val="single" w:sz="4" w:space="0" w:color="auto"/>
              <w:right w:val="single" w:sz="4" w:space="0" w:color="auto"/>
            </w:tcBorders>
            <w:shd w:val="clear" w:color="000000" w:fill="B4C6E7"/>
            <w:noWrap/>
            <w:vAlign w:val="center"/>
            <w:hideMark/>
          </w:tcPr>
          <w:p w14:paraId="09E41B45" w14:textId="77777777" w:rsidR="00324974" w:rsidRPr="001E79BF" w:rsidRDefault="00324974" w:rsidP="00674F2E">
            <w:pPr>
              <w:spacing w:after="0" w:line="240" w:lineRule="auto"/>
              <w:jc w:val="center"/>
              <w:rPr>
                <w:rFonts w:ascii="Calibri" w:eastAsia="Times New Roman" w:hAnsi="Calibri" w:cs="Calibri"/>
                <w:color w:val="000000"/>
                <w:lang w:eastAsia="fr-CH"/>
              </w:rPr>
            </w:pPr>
            <w:r w:rsidRPr="001E79BF">
              <w:rPr>
                <w:rFonts w:ascii="Calibri" w:eastAsia="Times New Roman" w:hAnsi="Calibri" w:cs="Calibri"/>
                <w:color w:val="000000"/>
                <w:lang w:eastAsia="fr-CH"/>
              </w:rPr>
              <w:t>≡</w:t>
            </w:r>
          </w:p>
        </w:tc>
        <w:tc>
          <w:tcPr>
            <w:tcW w:w="1082" w:type="dxa"/>
            <w:tcBorders>
              <w:top w:val="nil"/>
              <w:left w:val="nil"/>
              <w:bottom w:val="single" w:sz="4" w:space="0" w:color="auto"/>
              <w:right w:val="single" w:sz="4" w:space="0" w:color="auto"/>
            </w:tcBorders>
            <w:shd w:val="clear" w:color="000000" w:fill="B4C6E7"/>
            <w:noWrap/>
            <w:vAlign w:val="center"/>
            <w:hideMark/>
          </w:tcPr>
          <w:p w14:paraId="0EF6D6EC" w14:textId="77777777" w:rsidR="00324974" w:rsidRPr="001E79BF" w:rsidRDefault="00324974" w:rsidP="00674F2E">
            <w:pPr>
              <w:spacing w:after="0" w:line="240" w:lineRule="auto"/>
              <w:jc w:val="center"/>
              <w:rPr>
                <w:rFonts w:ascii="Calibri" w:eastAsia="Times New Roman" w:hAnsi="Calibri" w:cs="Calibri"/>
                <w:color w:val="000000"/>
                <w:lang w:eastAsia="fr-CH"/>
              </w:rPr>
            </w:pPr>
            <w:r w:rsidRPr="001E79BF">
              <w:rPr>
                <w:rFonts w:ascii="Calibri" w:eastAsia="Times New Roman" w:hAnsi="Calibri" w:cs="Calibri"/>
                <w:color w:val="000000"/>
                <w:lang w:eastAsia="fr-CH"/>
              </w:rPr>
              <w:t>0,2912</w:t>
            </w:r>
          </w:p>
        </w:tc>
        <w:tc>
          <w:tcPr>
            <w:tcW w:w="1002" w:type="dxa"/>
            <w:tcBorders>
              <w:top w:val="nil"/>
              <w:left w:val="nil"/>
              <w:bottom w:val="single" w:sz="4" w:space="0" w:color="auto"/>
              <w:right w:val="single" w:sz="4" w:space="0" w:color="auto"/>
            </w:tcBorders>
            <w:shd w:val="clear" w:color="000000" w:fill="B4C6E7"/>
            <w:noWrap/>
            <w:vAlign w:val="center"/>
            <w:hideMark/>
          </w:tcPr>
          <w:p w14:paraId="2E9FDFB2" w14:textId="77777777" w:rsidR="00324974" w:rsidRPr="001E79BF" w:rsidRDefault="00324974" w:rsidP="00674F2E">
            <w:pPr>
              <w:spacing w:after="0" w:line="240" w:lineRule="auto"/>
              <w:jc w:val="center"/>
              <w:rPr>
                <w:rFonts w:ascii="Calibri" w:eastAsia="Times New Roman" w:hAnsi="Calibri" w:cs="Calibri"/>
                <w:color w:val="000000"/>
                <w:lang w:eastAsia="fr-CH"/>
              </w:rPr>
            </w:pPr>
            <w:proofErr w:type="gramStart"/>
            <w:r w:rsidRPr="001E79BF">
              <w:rPr>
                <w:rFonts w:ascii="Calibri" w:eastAsia="Times New Roman" w:hAnsi="Calibri" w:cs="Calibri"/>
                <w:color w:val="000000"/>
                <w:lang w:eastAsia="fr-CH"/>
              </w:rPr>
              <w:t>kg</w:t>
            </w:r>
            <w:proofErr w:type="gramEnd"/>
            <w:r w:rsidRPr="001E79BF">
              <w:rPr>
                <w:rFonts w:ascii="Calibri" w:eastAsia="Times New Roman" w:hAnsi="Calibri" w:cs="Calibri"/>
                <w:color w:val="000000"/>
                <w:lang w:eastAsia="fr-CH"/>
              </w:rPr>
              <w:t>/km</w:t>
            </w:r>
          </w:p>
        </w:tc>
      </w:tr>
    </w:tbl>
    <w:p w14:paraId="59161C38" w14:textId="77777777" w:rsidR="00324974" w:rsidRDefault="00324974" w:rsidP="00324974">
      <w:pPr>
        <w:jc w:val="both"/>
        <w:rPr>
          <w:rFonts w:ascii="DengXian" w:eastAsia="DengXian" w:hAnsi="DengXian"/>
          <w:sz w:val="20"/>
          <w:szCs w:val="20"/>
        </w:rPr>
      </w:pPr>
    </w:p>
    <w:p w14:paraId="40456444" w14:textId="77777777" w:rsidR="00324974" w:rsidRDefault="00324974" w:rsidP="00324974">
      <w:pPr>
        <w:jc w:val="both"/>
        <w:rPr>
          <w:rFonts w:ascii="DengXian" w:eastAsia="DengXian" w:hAnsi="DengXian"/>
          <w:sz w:val="20"/>
          <w:szCs w:val="20"/>
        </w:rPr>
      </w:pPr>
      <w:r>
        <w:rPr>
          <w:rFonts w:ascii="DengXian" w:eastAsia="DengXian" w:hAnsi="DengXian"/>
          <w:sz w:val="20"/>
          <w:szCs w:val="20"/>
        </w:rPr>
        <w:t xml:space="preserve">Ce calcul ne prend pas en compte les PM10 produits par le trafic aérien et autoroutier. </w:t>
      </w:r>
    </w:p>
    <w:p w14:paraId="412448F7" w14:textId="77777777" w:rsidR="00324974" w:rsidRPr="002D72B5" w:rsidRDefault="00324974" w:rsidP="00324974">
      <w:pPr>
        <w:jc w:val="both"/>
        <w:rPr>
          <w:rFonts w:ascii="DengXian" w:eastAsia="DengXian" w:hAnsi="DengXian"/>
          <w:b/>
          <w:bCs/>
          <w:i/>
          <w:iCs/>
          <w:sz w:val="20"/>
          <w:szCs w:val="20"/>
          <w:u w:val="single"/>
        </w:rPr>
      </w:pPr>
      <w:r w:rsidRPr="00EE6D1C">
        <w:rPr>
          <w:rFonts w:ascii="DengXian" w:eastAsia="DengXian" w:hAnsi="DengXian"/>
          <w:sz w:val="20"/>
          <w:szCs w:val="20"/>
        </w:rPr>
        <w:t>D’après l’étude d’impact, l’</w:t>
      </w:r>
      <w:proofErr w:type="spellStart"/>
      <w:r w:rsidRPr="00EE6D1C">
        <w:rPr>
          <w:rFonts w:ascii="DengXian" w:eastAsia="DengXian" w:hAnsi="DengXian"/>
          <w:sz w:val="20"/>
          <w:szCs w:val="20"/>
        </w:rPr>
        <w:t>immission</w:t>
      </w:r>
      <w:proofErr w:type="spellEnd"/>
      <w:r w:rsidRPr="00EE6D1C">
        <w:rPr>
          <w:rFonts w:ascii="DengXian" w:eastAsia="DengXian" w:hAnsi="DengXian"/>
          <w:sz w:val="20"/>
          <w:szCs w:val="20"/>
        </w:rPr>
        <w:t xml:space="preserve"> des engins présents sur le chantier produirait 78gr/jour de PM10 et le transport des déchets devrait engendrer environ 154gr/jour de PM10</w:t>
      </w:r>
      <w:r>
        <w:rPr>
          <w:rFonts w:ascii="DengXian" w:eastAsia="DengXian" w:hAnsi="DengXian"/>
          <w:b/>
          <w:bCs/>
          <w:i/>
          <w:iCs/>
          <w:sz w:val="20"/>
          <w:szCs w:val="20"/>
          <w:u w:val="single"/>
        </w:rPr>
        <w:t xml:space="preserve">. </w:t>
      </w:r>
    </w:p>
    <w:p w14:paraId="280FF16A" w14:textId="77777777" w:rsidR="00324974" w:rsidRDefault="00324974" w:rsidP="00324974">
      <w:pPr>
        <w:jc w:val="both"/>
        <w:rPr>
          <w:rFonts w:ascii="DengXian" w:eastAsia="DengXian" w:hAnsi="DengXian"/>
          <w:sz w:val="20"/>
          <w:szCs w:val="20"/>
        </w:rPr>
      </w:pPr>
      <w:r>
        <w:rPr>
          <w:rFonts w:ascii="DengXian" w:eastAsia="DengXian" w:hAnsi="DengXian"/>
          <w:sz w:val="20"/>
          <w:szCs w:val="20"/>
        </w:rPr>
        <w:t>Nous nous retrouvons donc avec quasiment le double de PM10 de ce qui est produit dans la région !</w:t>
      </w:r>
    </w:p>
    <w:p w14:paraId="06AD4681" w14:textId="77777777" w:rsidR="00324974" w:rsidRDefault="00324974" w:rsidP="00324974">
      <w:pPr>
        <w:jc w:val="both"/>
        <w:rPr>
          <w:rFonts w:ascii="DengXian" w:eastAsia="DengXian" w:hAnsi="DengXian"/>
          <w:sz w:val="20"/>
          <w:szCs w:val="20"/>
        </w:rPr>
      </w:pPr>
      <w:r>
        <w:rPr>
          <w:noProof/>
        </w:rPr>
        <w:lastRenderedPageBreak/>
        <w:drawing>
          <wp:inline distT="0" distB="0" distL="0" distR="0" wp14:anchorId="20D7FD0F" wp14:editId="1913DDE0">
            <wp:extent cx="5759450" cy="375539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3755390"/>
                    </a:xfrm>
                    <a:prstGeom prst="rect">
                      <a:avLst/>
                    </a:prstGeom>
                  </pic:spPr>
                </pic:pic>
              </a:graphicData>
            </a:graphic>
          </wp:inline>
        </w:drawing>
      </w:r>
    </w:p>
    <w:p w14:paraId="407671EB" w14:textId="77777777" w:rsidR="00324974" w:rsidRDefault="00324974" w:rsidP="00324974">
      <w:pPr>
        <w:pStyle w:val="Pardfaut"/>
        <w:tabs>
          <w:tab w:val="left" w:pos="220"/>
          <w:tab w:val="left" w:pos="720"/>
        </w:tabs>
        <w:ind w:left="720" w:hanging="720"/>
        <w:rPr>
          <w:rStyle w:val="Aucun"/>
          <w:color w:val="454545"/>
          <w:u w:color="454545"/>
          <w:shd w:val="clear" w:color="auto" w:fill="FFFFFF"/>
        </w:rPr>
      </w:pPr>
      <w:r>
        <w:rPr>
          <w:rStyle w:val="Aucun"/>
          <w:color w:val="454545"/>
          <w:u w:color="454545"/>
          <w:shd w:val="clear" w:color="auto" w:fill="FFFFFF"/>
        </w:rPr>
        <w:t xml:space="preserve">Effet des particules fines sur la </w:t>
      </w:r>
      <w:proofErr w:type="gramStart"/>
      <w:r>
        <w:rPr>
          <w:rStyle w:val="Aucun"/>
          <w:color w:val="454545"/>
          <w:u w:color="454545"/>
          <w:shd w:val="clear" w:color="auto" w:fill="FFFFFF"/>
        </w:rPr>
        <w:t>santé:</w:t>
      </w:r>
      <w:proofErr w:type="gramEnd"/>
    </w:p>
    <w:p w14:paraId="1AFD20E9" w14:textId="77777777" w:rsidR="00324974" w:rsidRDefault="00324974" w:rsidP="00324974">
      <w:pPr>
        <w:jc w:val="both"/>
        <w:rPr>
          <w:rFonts w:ascii="DengXian" w:eastAsia="DengXian" w:hAnsi="DengXian"/>
          <w:sz w:val="20"/>
          <w:szCs w:val="20"/>
        </w:rPr>
      </w:pPr>
      <w:r>
        <w:rPr>
          <w:rStyle w:val="Aucun"/>
          <w:color w:val="454545"/>
          <w:u w:color="454545"/>
          <w:shd w:val="clear" w:color="auto" w:fill="FFFFFF"/>
        </w:rPr>
        <w:t>(Bulletin des médecins suisse</w:t>
      </w:r>
    </w:p>
    <w:p w14:paraId="7BE44AA1" w14:textId="77777777" w:rsidR="00324974" w:rsidRDefault="00324974" w:rsidP="00324974">
      <w:pPr>
        <w:jc w:val="both"/>
        <w:rPr>
          <w:rFonts w:ascii="DengXian" w:eastAsia="DengXian" w:hAnsi="DengXian"/>
          <w:sz w:val="20"/>
          <w:szCs w:val="20"/>
        </w:rPr>
      </w:pPr>
    </w:p>
    <w:p w14:paraId="00100757" w14:textId="77777777" w:rsidR="00324974" w:rsidRDefault="00324974" w:rsidP="00324974">
      <w:pPr>
        <w:jc w:val="both"/>
        <w:rPr>
          <w:rFonts w:ascii="DengXian" w:eastAsia="DengXian" w:hAnsi="DengXian"/>
          <w:sz w:val="20"/>
          <w:szCs w:val="20"/>
        </w:rPr>
      </w:pPr>
      <w:r>
        <w:rPr>
          <w:rStyle w:val="Aucun"/>
          <w:noProof/>
        </w:rPr>
        <w:drawing>
          <wp:anchor distT="152400" distB="152400" distL="152400" distR="152400" simplePos="0" relativeHeight="251662336" behindDoc="0" locked="0" layoutInCell="1" allowOverlap="1" wp14:anchorId="2A33A169" wp14:editId="19C3F41E">
            <wp:simplePos x="0" y="0"/>
            <wp:positionH relativeFrom="margin">
              <wp:align>center</wp:align>
            </wp:positionH>
            <wp:positionV relativeFrom="margin">
              <wp:align>bottom</wp:align>
            </wp:positionV>
            <wp:extent cx="6119270" cy="3893721"/>
            <wp:effectExtent l="0" t="0" r="0" b="0"/>
            <wp:wrapThrough wrapText="bothSides" distL="152400" distR="152400">
              <wp:wrapPolygon edited="1">
                <wp:start x="0" y="0"/>
                <wp:lineTo x="21600" y="0"/>
                <wp:lineTo x="21600" y="21619"/>
                <wp:lineTo x="0" y="21619"/>
                <wp:lineTo x="0" y="0"/>
              </wp:wrapPolygon>
            </wp:wrapThrough>
            <wp:docPr id="107374182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7" name="pasted-image.tiff" descr="pasted-image.tiff"/>
                    <pic:cNvPicPr>
                      <a:picLocks noChangeAspect="1"/>
                    </pic:cNvPicPr>
                  </pic:nvPicPr>
                  <pic:blipFill>
                    <a:blip r:embed="rId20"/>
                    <a:stretch>
                      <a:fillRect/>
                    </a:stretch>
                  </pic:blipFill>
                  <pic:spPr>
                    <a:xfrm>
                      <a:off x="0" y="0"/>
                      <a:ext cx="6119270" cy="3893721"/>
                    </a:xfrm>
                    <a:prstGeom prst="rect">
                      <a:avLst/>
                    </a:prstGeom>
                    <a:ln w="12700" cap="flat">
                      <a:noFill/>
                      <a:miter lim="400000"/>
                    </a:ln>
                    <a:effectLst/>
                  </pic:spPr>
                </pic:pic>
              </a:graphicData>
            </a:graphic>
            <wp14:sizeRelV relativeFrom="margin">
              <wp14:pctHeight>0</wp14:pctHeight>
            </wp14:sizeRelV>
          </wp:anchor>
        </w:drawing>
      </w:r>
      <w:r>
        <w:rPr>
          <w:rFonts w:ascii="DengXian" w:eastAsia="DengXian" w:hAnsi="DengXian"/>
          <w:sz w:val="20"/>
          <w:szCs w:val="20"/>
        </w:rPr>
        <w:t>Exemple de l’effet de la poussière sur l’œil d’un de mes patients</w:t>
      </w:r>
    </w:p>
    <w:p w14:paraId="01F64A09" w14:textId="77777777" w:rsidR="00324974" w:rsidRDefault="00324974" w:rsidP="00324974">
      <w:pPr>
        <w:jc w:val="both"/>
        <w:rPr>
          <w:rFonts w:ascii="DengXian" w:eastAsia="DengXian" w:hAnsi="DengXian"/>
          <w:sz w:val="20"/>
          <w:szCs w:val="20"/>
        </w:rPr>
      </w:pPr>
      <w:r>
        <w:rPr>
          <w:rFonts w:ascii="DengXian" w:eastAsia="DengXian" w:hAnsi="DengXian"/>
          <w:sz w:val="20"/>
          <w:szCs w:val="20"/>
        </w:rPr>
        <w:lastRenderedPageBreak/>
        <w:t xml:space="preserve">Un complément très important et qui n’est mentionné aucunement est le fait que </w:t>
      </w:r>
      <w:r w:rsidRPr="001A62FD">
        <w:rPr>
          <w:rFonts w:ascii="DengXian" w:eastAsia="DengXian" w:hAnsi="DengXian"/>
          <w:b/>
          <w:bCs/>
          <w:sz w:val="20"/>
          <w:szCs w:val="20"/>
          <w:u w:val="single"/>
        </w:rPr>
        <w:t>les terres genevoises</w:t>
      </w:r>
      <w:r>
        <w:rPr>
          <w:rFonts w:ascii="DengXian" w:eastAsia="DengXian" w:hAnsi="DengXian"/>
          <w:b/>
          <w:bCs/>
          <w:sz w:val="20"/>
          <w:szCs w:val="20"/>
          <w:u w:val="single"/>
        </w:rPr>
        <w:t xml:space="preserve"> (c’est-à-dire les matériaux d’excavation qui pourraient être extraits)</w:t>
      </w:r>
      <w:r w:rsidRPr="001A62FD">
        <w:rPr>
          <w:rFonts w:ascii="DengXian" w:eastAsia="DengXian" w:hAnsi="DengXian"/>
          <w:b/>
          <w:bCs/>
          <w:sz w:val="20"/>
          <w:szCs w:val="20"/>
          <w:u w:val="single"/>
        </w:rPr>
        <w:t xml:space="preserve"> contiennent de la silice </w:t>
      </w:r>
      <w:r>
        <w:rPr>
          <w:rFonts w:ascii="DengXian" w:eastAsia="DengXian" w:hAnsi="DengXian"/>
          <w:sz w:val="20"/>
          <w:szCs w:val="20"/>
        </w:rPr>
        <w:t>(sous forme de quartz).</w:t>
      </w:r>
    </w:p>
    <w:p w14:paraId="6082DBF0" w14:textId="77777777" w:rsidR="00324974" w:rsidRDefault="00324974" w:rsidP="00324974">
      <w:pPr>
        <w:jc w:val="both"/>
        <w:rPr>
          <w:rFonts w:ascii="DengXian" w:eastAsia="DengXian" w:hAnsi="DengXian"/>
          <w:sz w:val="20"/>
          <w:szCs w:val="20"/>
        </w:rPr>
      </w:pPr>
      <w:r>
        <w:rPr>
          <w:rFonts w:ascii="DengXian" w:eastAsia="DengXian" w:hAnsi="DengXian"/>
          <w:sz w:val="20"/>
          <w:szCs w:val="20"/>
        </w:rPr>
        <w:t xml:space="preserve">En effet, d’après le </w:t>
      </w:r>
      <w:proofErr w:type="gramStart"/>
      <w:r>
        <w:rPr>
          <w:rFonts w:ascii="DengXian" w:eastAsia="DengXian" w:hAnsi="DengXian"/>
          <w:sz w:val="20"/>
          <w:szCs w:val="20"/>
        </w:rPr>
        <w:t>fascicule  archives</w:t>
      </w:r>
      <w:proofErr w:type="gramEnd"/>
      <w:r>
        <w:rPr>
          <w:rFonts w:ascii="DengXian" w:eastAsia="DengXian" w:hAnsi="DengXian"/>
          <w:sz w:val="20"/>
          <w:szCs w:val="20"/>
        </w:rPr>
        <w:t xml:space="preserve"> des sciences édité par la société physique et d’histoire naturelle de Genève en novembre 2007, 40% à 70% seraient constitués de quartz. </w:t>
      </w:r>
    </w:p>
    <w:p w14:paraId="173C752E" w14:textId="77777777" w:rsidR="00324974" w:rsidRDefault="00324974" w:rsidP="00324974">
      <w:pPr>
        <w:jc w:val="both"/>
        <w:rPr>
          <w:rFonts w:ascii="DengXian" w:eastAsia="DengXian" w:hAnsi="DengXian"/>
          <w:sz w:val="20"/>
          <w:szCs w:val="20"/>
        </w:rPr>
      </w:pPr>
      <w:r>
        <w:rPr>
          <w:noProof/>
        </w:rPr>
        <w:drawing>
          <wp:anchor distT="0" distB="0" distL="114300" distR="114300" simplePos="0" relativeHeight="251661312" behindDoc="0" locked="0" layoutInCell="1" allowOverlap="1" wp14:anchorId="0D78D481" wp14:editId="6F7D15C7">
            <wp:simplePos x="904875" y="904875"/>
            <wp:positionH relativeFrom="column">
              <wp:align>left</wp:align>
            </wp:positionH>
            <wp:positionV relativeFrom="paragraph">
              <wp:align>top</wp:align>
            </wp:positionV>
            <wp:extent cx="2609850" cy="1581150"/>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609850" cy="1581150"/>
                    </a:xfrm>
                    <a:prstGeom prst="rect">
                      <a:avLst/>
                    </a:prstGeom>
                  </pic:spPr>
                </pic:pic>
              </a:graphicData>
            </a:graphic>
          </wp:anchor>
        </w:drawing>
      </w:r>
      <w:r>
        <w:rPr>
          <w:rFonts w:ascii="DengXian" w:eastAsia="DengXian" w:hAnsi="DengXian"/>
          <w:sz w:val="20"/>
          <w:szCs w:val="20"/>
        </w:rPr>
        <w:br w:type="textWrapping" w:clear="all"/>
      </w:r>
    </w:p>
    <w:p w14:paraId="056811B3" w14:textId="77777777" w:rsidR="00324974" w:rsidRDefault="00324974" w:rsidP="00324974">
      <w:pPr>
        <w:jc w:val="both"/>
        <w:rPr>
          <w:rFonts w:ascii="DengXian" w:eastAsia="DengXian" w:hAnsi="DengXian"/>
          <w:sz w:val="20"/>
          <w:szCs w:val="20"/>
        </w:rPr>
      </w:pPr>
    </w:p>
    <w:p w14:paraId="047BA50C" w14:textId="77777777" w:rsidR="00324974" w:rsidRDefault="00324974" w:rsidP="00324974">
      <w:pPr>
        <w:jc w:val="both"/>
        <w:rPr>
          <w:rFonts w:ascii="DengXian" w:eastAsia="DengXian" w:hAnsi="DengXian"/>
          <w:sz w:val="20"/>
          <w:szCs w:val="20"/>
        </w:rPr>
      </w:pPr>
      <w:r>
        <w:rPr>
          <w:noProof/>
        </w:rPr>
        <w:drawing>
          <wp:inline distT="0" distB="0" distL="0" distR="0" wp14:anchorId="2CB966FC" wp14:editId="5FB09668">
            <wp:extent cx="4819650" cy="531495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19650" cy="5314950"/>
                    </a:xfrm>
                    <a:prstGeom prst="rect">
                      <a:avLst/>
                    </a:prstGeom>
                  </pic:spPr>
                </pic:pic>
              </a:graphicData>
            </a:graphic>
          </wp:inline>
        </w:drawing>
      </w:r>
    </w:p>
    <w:p w14:paraId="1677667F" w14:textId="77777777" w:rsidR="00324974" w:rsidRDefault="00324974" w:rsidP="00324974">
      <w:pPr>
        <w:jc w:val="both"/>
        <w:rPr>
          <w:rFonts w:ascii="DengXian" w:eastAsia="DengXian" w:hAnsi="DengXian"/>
          <w:sz w:val="20"/>
          <w:szCs w:val="20"/>
        </w:rPr>
      </w:pPr>
    </w:p>
    <w:p w14:paraId="7DA3E542" w14:textId="77777777" w:rsidR="00324974" w:rsidRPr="003C643A" w:rsidRDefault="00324974" w:rsidP="00324974">
      <w:pPr>
        <w:jc w:val="both"/>
        <w:rPr>
          <w:rFonts w:ascii="DengXian" w:eastAsia="DengXian" w:hAnsi="DengXian"/>
          <w:sz w:val="20"/>
          <w:szCs w:val="20"/>
        </w:rPr>
      </w:pPr>
    </w:p>
    <w:p w14:paraId="139F0DFD" w14:textId="77777777" w:rsidR="00324974" w:rsidRPr="00EE6D1C" w:rsidRDefault="00324974" w:rsidP="00324974">
      <w:pPr>
        <w:pStyle w:val="NormalWeb"/>
        <w:spacing w:before="120" w:beforeAutospacing="0" w:after="120" w:afterAutospacing="0"/>
        <w:rPr>
          <w:rFonts w:ascii="DengXian" w:eastAsia="DengXian" w:hAnsi="DengXian" w:cs="Arial"/>
          <w:color w:val="222222"/>
          <w:sz w:val="20"/>
          <w:szCs w:val="20"/>
        </w:rPr>
      </w:pPr>
      <w:r w:rsidRPr="00EE6D1C">
        <w:rPr>
          <w:rFonts w:ascii="DengXian" w:eastAsia="DengXian" w:hAnsi="DengXian" w:cs="Arial"/>
          <w:color w:val="222222"/>
          <w:sz w:val="20"/>
          <w:szCs w:val="20"/>
        </w:rPr>
        <w:t xml:space="preserve">Avis médical sur la silicose : </w:t>
      </w:r>
    </w:p>
    <w:p w14:paraId="57E863DF" w14:textId="77777777" w:rsidR="00324974" w:rsidRPr="00EE6D1C" w:rsidRDefault="00324974" w:rsidP="00324974">
      <w:pPr>
        <w:pStyle w:val="NormalWeb"/>
        <w:spacing w:before="120" w:beforeAutospacing="0" w:after="120" w:afterAutospacing="0"/>
        <w:rPr>
          <w:rFonts w:ascii="DengXian" w:eastAsia="DengXian" w:hAnsi="DengXian" w:cs="Arial"/>
          <w:color w:val="222222"/>
          <w:sz w:val="20"/>
          <w:szCs w:val="20"/>
        </w:rPr>
      </w:pPr>
      <w:r w:rsidRPr="00EE6D1C">
        <w:rPr>
          <w:rFonts w:ascii="DengXian" w:eastAsia="DengXian" w:hAnsi="DengXian" w:cs="Arial"/>
          <w:color w:val="222222"/>
          <w:sz w:val="20"/>
          <w:szCs w:val="20"/>
        </w:rPr>
        <w:t xml:space="preserve">La </w:t>
      </w:r>
      <w:r w:rsidRPr="00EE6D1C">
        <w:rPr>
          <w:rFonts w:ascii="DengXian" w:eastAsia="DengXian" w:hAnsi="DengXian" w:cs="Arial"/>
          <w:b/>
          <w:bCs/>
          <w:color w:val="222222"/>
          <w:sz w:val="20"/>
          <w:szCs w:val="20"/>
        </w:rPr>
        <w:t>silicose</w:t>
      </w:r>
      <w:r w:rsidRPr="00EE6D1C">
        <w:rPr>
          <w:rFonts w:ascii="DengXian" w:eastAsia="DengXian" w:hAnsi="DengXian" w:cs="Arial"/>
          <w:color w:val="222222"/>
          <w:sz w:val="20"/>
          <w:szCs w:val="20"/>
        </w:rPr>
        <w:t xml:space="preserve"> est une maladie pulmonaire provoquée par l'inhalation de particules de poussières de silice.</w:t>
      </w:r>
    </w:p>
    <w:p w14:paraId="094C4E5D" w14:textId="77777777" w:rsidR="00324974" w:rsidRPr="00EE6D1C" w:rsidRDefault="00324974" w:rsidP="00324974">
      <w:pPr>
        <w:pStyle w:val="Pardfaut"/>
        <w:tabs>
          <w:tab w:val="left" w:pos="220"/>
          <w:tab w:val="left" w:pos="720"/>
        </w:tabs>
        <w:ind w:left="720" w:hanging="720"/>
        <w:rPr>
          <w:rStyle w:val="Aucun"/>
          <w:rFonts w:ascii="DengXian" w:eastAsia="DengXian" w:hAnsi="DengXian"/>
          <w:color w:val="454545"/>
          <w:sz w:val="20"/>
          <w:szCs w:val="20"/>
          <w:u w:color="454545"/>
          <w:shd w:val="clear" w:color="auto" w:fill="FFFFFF"/>
        </w:rPr>
      </w:pPr>
      <w:r w:rsidRPr="00EE6D1C">
        <w:rPr>
          <w:rStyle w:val="Aucun"/>
          <w:rFonts w:ascii="DengXian" w:eastAsia="DengXian" w:hAnsi="DengXian"/>
          <w:color w:val="454545"/>
          <w:sz w:val="20"/>
          <w:szCs w:val="20"/>
          <w:u w:color="454545"/>
          <w:shd w:val="clear" w:color="auto" w:fill="FFFFFF"/>
        </w:rPr>
        <w:t xml:space="preserve">Effets de la silice sur la </w:t>
      </w:r>
      <w:proofErr w:type="gramStart"/>
      <w:r w:rsidRPr="00EE6D1C">
        <w:rPr>
          <w:rStyle w:val="Aucun"/>
          <w:rFonts w:ascii="DengXian" w:eastAsia="DengXian" w:hAnsi="DengXian"/>
          <w:color w:val="454545"/>
          <w:sz w:val="20"/>
          <w:szCs w:val="20"/>
          <w:u w:color="454545"/>
          <w:shd w:val="clear" w:color="auto" w:fill="FFFFFF"/>
        </w:rPr>
        <w:t>santé:</w:t>
      </w:r>
      <w:proofErr w:type="gramEnd"/>
    </w:p>
    <w:p w14:paraId="4F66EBEC" w14:textId="77777777" w:rsidR="00324974" w:rsidRPr="00EE6D1C" w:rsidRDefault="00324974" w:rsidP="00324974">
      <w:pPr>
        <w:pStyle w:val="Pardfaut"/>
        <w:tabs>
          <w:tab w:val="left" w:pos="220"/>
          <w:tab w:val="left" w:pos="720"/>
        </w:tabs>
        <w:ind w:left="720" w:hanging="720"/>
        <w:rPr>
          <w:rStyle w:val="Aucun"/>
          <w:rFonts w:ascii="DengXian" w:eastAsia="DengXian" w:hAnsi="DengXian"/>
          <w:color w:val="454545"/>
          <w:sz w:val="20"/>
          <w:szCs w:val="20"/>
          <w:u w:color="454545"/>
          <w:shd w:val="clear" w:color="auto" w:fill="FFFFFF"/>
        </w:rPr>
      </w:pPr>
    </w:p>
    <w:p w14:paraId="3A75A808" w14:textId="77777777" w:rsidR="00324974" w:rsidRPr="00EE6D1C" w:rsidRDefault="00324974" w:rsidP="00324974">
      <w:pPr>
        <w:pStyle w:val="Pardfaut"/>
        <w:numPr>
          <w:ilvl w:val="0"/>
          <w:numId w:val="3"/>
        </w:numPr>
        <w:rPr>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Silicose</w:t>
      </w:r>
    </w:p>
    <w:p w14:paraId="4EBC18F1" w14:textId="77777777" w:rsidR="00324974" w:rsidRPr="00EE6D1C" w:rsidRDefault="00324974" w:rsidP="00324974">
      <w:pPr>
        <w:pStyle w:val="Pardfaut"/>
        <w:numPr>
          <w:ilvl w:val="0"/>
          <w:numId w:val="3"/>
        </w:numPr>
        <w:rPr>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Atteintes auto-immunes :</w:t>
      </w:r>
    </w:p>
    <w:p w14:paraId="2115ADD2" w14:textId="77777777" w:rsidR="00324974" w:rsidRPr="00EE6D1C" w:rsidRDefault="00324974" w:rsidP="00324974">
      <w:pPr>
        <w:pStyle w:val="Pardfaut"/>
        <w:numPr>
          <w:ilvl w:val="1"/>
          <w:numId w:val="4"/>
        </w:numPr>
        <w:rPr>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Polyarthrite rhumatoïde</w:t>
      </w:r>
    </w:p>
    <w:p w14:paraId="57BA03B7" w14:textId="77777777" w:rsidR="00324974" w:rsidRPr="00EE6D1C" w:rsidRDefault="00324974" w:rsidP="00324974">
      <w:pPr>
        <w:pStyle w:val="Pardfaut"/>
        <w:numPr>
          <w:ilvl w:val="1"/>
          <w:numId w:val="4"/>
        </w:numPr>
        <w:rPr>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Sclérodermie systémique</w:t>
      </w:r>
    </w:p>
    <w:p w14:paraId="162D66B0" w14:textId="77777777" w:rsidR="00324974" w:rsidRPr="00EE6D1C" w:rsidRDefault="00324974" w:rsidP="00324974">
      <w:pPr>
        <w:pStyle w:val="Pardfaut"/>
        <w:numPr>
          <w:ilvl w:val="1"/>
          <w:numId w:val="4"/>
        </w:numPr>
        <w:rPr>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 xml:space="preserve">Lupus </w:t>
      </w:r>
    </w:p>
    <w:p w14:paraId="66C9344B" w14:textId="77777777" w:rsidR="00324974" w:rsidRPr="00EE6D1C" w:rsidRDefault="00324974" w:rsidP="00324974">
      <w:pPr>
        <w:pStyle w:val="Pardfaut"/>
        <w:numPr>
          <w:ilvl w:val="0"/>
          <w:numId w:val="3"/>
        </w:numPr>
        <w:rPr>
          <w:rStyle w:val="Aucun"/>
          <w:rFonts w:ascii="DengXian" w:eastAsia="DengXian" w:hAnsi="DengXian"/>
          <w:color w:val="454545"/>
          <w:sz w:val="20"/>
          <w:szCs w:val="20"/>
        </w:rPr>
      </w:pPr>
      <w:r w:rsidRPr="00EE6D1C">
        <w:rPr>
          <w:rStyle w:val="Aucun"/>
          <w:rFonts w:ascii="DengXian" w:eastAsia="DengXian" w:hAnsi="DengXian"/>
          <w:color w:val="454545"/>
          <w:sz w:val="20"/>
          <w:szCs w:val="20"/>
          <w:u w:color="454545"/>
          <w:shd w:val="clear" w:color="auto" w:fill="FFFFFF"/>
        </w:rPr>
        <w:t xml:space="preserve">Cancer </w:t>
      </w:r>
    </w:p>
    <w:p w14:paraId="4FE81097" w14:textId="77777777" w:rsidR="00324974" w:rsidRPr="00EE6D1C" w:rsidRDefault="00324974" w:rsidP="00324974">
      <w:pPr>
        <w:pStyle w:val="Pardfaut"/>
        <w:tabs>
          <w:tab w:val="left" w:pos="220"/>
          <w:tab w:val="left" w:pos="720"/>
        </w:tabs>
        <w:ind w:left="720" w:hanging="720"/>
        <w:rPr>
          <w:rStyle w:val="Aucun"/>
          <w:rFonts w:ascii="DengXian" w:eastAsia="DengXian" w:hAnsi="DengXian"/>
          <w:color w:val="454545"/>
          <w:sz w:val="20"/>
          <w:szCs w:val="20"/>
          <w:u w:color="454545"/>
          <w:shd w:val="clear" w:color="auto" w:fill="FFFFFF"/>
        </w:rPr>
      </w:pPr>
    </w:p>
    <w:p w14:paraId="14D1478D" w14:textId="77777777" w:rsidR="00324974" w:rsidRPr="00EE6D1C" w:rsidRDefault="00324974" w:rsidP="00324974">
      <w:pPr>
        <w:pStyle w:val="Pardfaut"/>
        <w:tabs>
          <w:tab w:val="left" w:pos="0"/>
          <w:tab w:val="left" w:pos="220"/>
        </w:tabs>
        <w:rPr>
          <w:rStyle w:val="Aucun"/>
          <w:rFonts w:ascii="DengXian" w:eastAsia="DengXian" w:hAnsi="DengXian"/>
          <w:color w:val="454545"/>
          <w:sz w:val="20"/>
          <w:szCs w:val="20"/>
          <w:u w:color="454545"/>
          <w:shd w:val="clear" w:color="auto" w:fill="FFFFFF"/>
        </w:rPr>
      </w:pPr>
      <w:r w:rsidRPr="00EE6D1C">
        <w:rPr>
          <w:rStyle w:val="Aucun"/>
          <w:rFonts w:ascii="DengXian" w:eastAsia="DengXian" w:hAnsi="DengXian"/>
          <w:color w:val="454545"/>
          <w:sz w:val="20"/>
          <w:szCs w:val="20"/>
          <w:u w:color="454545"/>
          <w:shd w:val="clear" w:color="auto" w:fill="FFFFFF"/>
        </w:rPr>
        <w:t>Une atteinte auto-immune est possible après une faible exposition de courte durée et aucun seuil pour</w:t>
      </w:r>
      <w:r>
        <w:rPr>
          <w:rStyle w:val="Aucun"/>
          <w:rFonts w:ascii="DengXian" w:eastAsia="DengXian" w:hAnsi="DengXian"/>
          <w:color w:val="454545"/>
          <w:sz w:val="20"/>
          <w:szCs w:val="20"/>
          <w:u w:color="454545"/>
          <w:shd w:val="clear" w:color="auto" w:fill="FFFFFF"/>
        </w:rPr>
        <w:t xml:space="preserve"> </w:t>
      </w:r>
      <w:r w:rsidRPr="00EE6D1C">
        <w:rPr>
          <w:rStyle w:val="Aucun"/>
          <w:rFonts w:ascii="DengXian" w:eastAsia="DengXian" w:hAnsi="DengXian"/>
          <w:color w:val="454545"/>
          <w:sz w:val="20"/>
          <w:szCs w:val="20"/>
          <w:u w:color="454545"/>
          <w:shd w:val="clear" w:color="auto" w:fill="FFFFFF"/>
        </w:rPr>
        <w:t>développer la silicose n’a pu être identifié à ce jour.</w:t>
      </w:r>
    </w:p>
    <w:p w14:paraId="3BB2A5C5" w14:textId="77777777" w:rsidR="00324974" w:rsidRPr="00EE6D1C" w:rsidRDefault="00324974" w:rsidP="00324974">
      <w:pPr>
        <w:pStyle w:val="Pardfaut"/>
        <w:tabs>
          <w:tab w:val="left" w:pos="220"/>
          <w:tab w:val="left" w:pos="720"/>
        </w:tabs>
        <w:ind w:left="720" w:hanging="720"/>
        <w:rPr>
          <w:rStyle w:val="Aucun"/>
          <w:rFonts w:ascii="DengXian" w:eastAsia="DengXian" w:hAnsi="DengXian"/>
          <w:color w:val="454545"/>
          <w:sz w:val="20"/>
          <w:szCs w:val="20"/>
          <w:u w:color="454545"/>
          <w:shd w:val="clear" w:color="auto" w:fill="FFFFFF"/>
        </w:rPr>
      </w:pPr>
    </w:p>
    <w:p w14:paraId="4F8E3D39" w14:textId="77777777" w:rsidR="00324974" w:rsidRPr="00EE6D1C" w:rsidRDefault="00324974" w:rsidP="00324974">
      <w:pPr>
        <w:pStyle w:val="Pardfaut"/>
        <w:tabs>
          <w:tab w:val="left" w:pos="220"/>
          <w:tab w:val="left" w:pos="720"/>
        </w:tabs>
        <w:ind w:left="720" w:hanging="720"/>
        <w:rPr>
          <w:rStyle w:val="Aucun"/>
          <w:rFonts w:ascii="DengXian" w:eastAsia="DengXian" w:hAnsi="DengXian"/>
          <w:color w:val="454545"/>
          <w:sz w:val="20"/>
          <w:szCs w:val="20"/>
          <w:u w:color="454545"/>
          <w:shd w:val="clear" w:color="auto" w:fill="FFFFFF"/>
        </w:rPr>
      </w:pPr>
      <w:r w:rsidRPr="00EE6D1C">
        <w:rPr>
          <w:rStyle w:val="Aucun"/>
          <w:rFonts w:ascii="DengXian" w:eastAsia="DengXian" w:hAnsi="DengXian"/>
          <w:color w:val="454545"/>
          <w:sz w:val="20"/>
          <w:szCs w:val="20"/>
          <w:u w:color="454545"/>
          <w:shd w:val="clear" w:color="auto" w:fill="FFFFFF"/>
        </w:rPr>
        <w:t>(Rapport de l’Agence nationale de sécurité sanitaire, alimentation, environnement, travail (France, 04.2019)</w:t>
      </w:r>
    </w:p>
    <w:p w14:paraId="1ECF9890" w14:textId="77777777" w:rsidR="00324974" w:rsidRPr="00EE6D1C" w:rsidRDefault="00324974" w:rsidP="00324974">
      <w:pPr>
        <w:pStyle w:val="NormalWeb"/>
        <w:spacing w:before="120" w:beforeAutospacing="0" w:after="120" w:afterAutospacing="0"/>
        <w:jc w:val="center"/>
        <w:rPr>
          <w:rFonts w:ascii="DengXian" w:eastAsia="DengXian" w:hAnsi="DengXian" w:cs="Arial"/>
          <w:color w:val="222222"/>
          <w:sz w:val="20"/>
          <w:szCs w:val="20"/>
          <w:u w:val="single"/>
          <w:lang w:val="fr-FR"/>
        </w:rPr>
      </w:pPr>
      <w:r w:rsidRPr="00EE6D1C">
        <w:rPr>
          <w:rFonts w:ascii="DengXian" w:eastAsia="DengXian" w:hAnsi="DengXian" w:cs="Arial"/>
          <w:color w:val="222222"/>
          <w:sz w:val="20"/>
          <w:szCs w:val="20"/>
          <w:u w:val="single"/>
          <w:lang w:val="fr-FR"/>
        </w:rPr>
        <w:t xml:space="preserve">Polyarthrite </w:t>
      </w:r>
      <w:r>
        <w:rPr>
          <w:rFonts w:ascii="DengXian" w:eastAsia="DengXian" w:hAnsi="DengXian" w:cs="Arial"/>
          <w:color w:val="222222"/>
          <w:sz w:val="20"/>
          <w:szCs w:val="20"/>
          <w:u w:val="single"/>
          <w:lang w:val="fr-FR"/>
        </w:rPr>
        <w:t>Rhumatoïde :</w:t>
      </w:r>
    </w:p>
    <w:p w14:paraId="1D1C9286"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r>
        <w:rPr>
          <w:rStyle w:val="Aucun"/>
          <w:noProof/>
        </w:rPr>
        <w:drawing>
          <wp:anchor distT="152400" distB="152400" distL="152400" distR="152400" simplePos="0" relativeHeight="251663360" behindDoc="0" locked="0" layoutInCell="1" allowOverlap="1" wp14:anchorId="1486EADA" wp14:editId="16EC6339">
            <wp:simplePos x="0" y="0"/>
            <wp:positionH relativeFrom="margin">
              <wp:posOffset>23495</wp:posOffset>
            </wp:positionH>
            <wp:positionV relativeFrom="page">
              <wp:posOffset>4800600</wp:posOffset>
            </wp:positionV>
            <wp:extent cx="6119495" cy="3866515"/>
            <wp:effectExtent l="0" t="0" r="0" b="635"/>
            <wp:wrapTopAndBottom/>
            <wp:docPr id="1073741829"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9" name="pasted-image.tiff" descr="pasted-image.tiff"/>
                    <pic:cNvPicPr>
                      <a:picLocks noChangeAspect="1"/>
                    </pic:cNvPicPr>
                  </pic:nvPicPr>
                  <pic:blipFill>
                    <a:blip r:embed="rId23"/>
                    <a:stretch>
                      <a:fillRect/>
                    </a:stretch>
                  </pic:blipFill>
                  <pic:spPr>
                    <a:xfrm>
                      <a:off x="0" y="0"/>
                      <a:ext cx="6119495" cy="3866515"/>
                    </a:xfrm>
                    <a:prstGeom prst="rect">
                      <a:avLst/>
                    </a:prstGeom>
                    <a:ln w="12700" cap="flat">
                      <a:noFill/>
                      <a:miter lim="400000"/>
                    </a:ln>
                    <a:effectLst/>
                  </pic:spPr>
                </pic:pic>
              </a:graphicData>
            </a:graphic>
          </wp:anchor>
        </w:drawing>
      </w:r>
    </w:p>
    <w:p w14:paraId="6C2DD9B9"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p>
    <w:p w14:paraId="36066D24"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p>
    <w:p w14:paraId="2F95DD50"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p>
    <w:p w14:paraId="23581ABC" w14:textId="77777777" w:rsidR="00324974" w:rsidRPr="00EE6D1C" w:rsidRDefault="00324974" w:rsidP="00324974">
      <w:pPr>
        <w:pStyle w:val="NormalWeb"/>
        <w:spacing w:before="120" w:beforeAutospacing="0" w:after="120" w:afterAutospacing="0"/>
        <w:jc w:val="center"/>
        <w:rPr>
          <w:rFonts w:ascii="DengXian" w:eastAsia="DengXian" w:hAnsi="DengXian" w:cs="Arial"/>
          <w:color w:val="222222"/>
          <w:sz w:val="20"/>
          <w:szCs w:val="20"/>
          <w:u w:val="single"/>
          <w:lang w:val="fr-FR"/>
        </w:rPr>
      </w:pPr>
      <w:r w:rsidRPr="00EE6D1C">
        <w:rPr>
          <w:rFonts w:ascii="DengXian" w:eastAsia="DengXian" w:hAnsi="DengXian" w:cs="Arial"/>
          <w:color w:val="222222"/>
          <w:sz w:val="20"/>
          <w:szCs w:val="20"/>
          <w:u w:val="single"/>
          <w:lang w:val="fr-FR"/>
        </w:rPr>
        <w:lastRenderedPageBreak/>
        <w:t>Lupus</w:t>
      </w:r>
      <w:r>
        <w:rPr>
          <w:rFonts w:ascii="DengXian" w:eastAsia="DengXian" w:hAnsi="DengXian" w:cs="Arial"/>
          <w:color w:val="222222"/>
          <w:sz w:val="20"/>
          <w:szCs w:val="20"/>
          <w:u w:val="single"/>
          <w:lang w:val="fr-FR"/>
        </w:rPr>
        <w:t> :</w:t>
      </w:r>
    </w:p>
    <w:p w14:paraId="06065B84"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r>
        <w:rPr>
          <w:noProof/>
        </w:rPr>
        <w:drawing>
          <wp:inline distT="0" distB="0" distL="0" distR="0" wp14:anchorId="05A733C3" wp14:editId="7A798033">
            <wp:extent cx="5759450" cy="3490595"/>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3490595"/>
                    </a:xfrm>
                    <a:prstGeom prst="rect">
                      <a:avLst/>
                    </a:prstGeom>
                  </pic:spPr>
                </pic:pic>
              </a:graphicData>
            </a:graphic>
          </wp:inline>
        </w:drawing>
      </w:r>
    </w:p>
    <w:p w14:paraId="3CF199CA" w14:textId="77777777" w:rsidR="00324974" w:rsidRPr="00EE6D1C" w:rsidRDefault="00324974" w:rsidP="00324974">
      <w:pPr>
        <w:pStyle w:val="NormalWeb"/>
        <w:spacing w:before="120" w:beforeAutospacing="0" w:after="120" w:afterAutospacing="0"/>
        <w:jc w:val="center"/>
        <w:rPr>
          <w:rFonts w:ascii="DengXian" w:eastAsia="DengXian" w:hAnsi="DengXian" w:cs="Arial"/>
          <w:color w:val="222222"/>
          <w:sz w:val="20"/>
          <w:szCs w:val="20"/>
          <w:u w:val="single"/>
          <w:lang w:val="fr-FR"/>
        </w:rPr>
      </w:pPr>
      <w:r w:rsidRPr="00EE6D1C">
        <w:rPr>
          <w:rFonts w:ascii="DengXian" w:eastAsia="DengXian" w:hAnsi="DengXian" w:cs="Arial"/>
          <w:color w:val="222222"/>
          <w:sz w:val="20"/>
          <w:szCs w:val="20"/>
          <w:u w:val="single"/>
          <w:lang w:val="fr-FR"/>
        </w:rPr>
        <w:t>Sclérodermie</w:t>
      </w:r>
    </w:p>
    <w:p w14:paraId="1BA5B520" w14:textId="77777777" w:rsidR="00324974" w:rsidRDefault="00324974" w:rsidP="00324974">
      <w:pPr>
        <w:pStyle w:val="NormalWeb"/>
        <w:spacing w:before="120" w:beforeAutospacing="0" w:after="120" w:afterAutospacing="0"/>
        <w:rPr>
          <w:rFonts w:ascii="DengXian" w:eastAsia="DengXian" w:hAnsi="DengXian" w:cs="Arial"/>
          <w:color w:val="222222"/>
          <w:sz w:val="20"/>
          <w:szCs w:val="20"/>
          <w:lang w:val="fr-FR"/>
        </w:rPr>
      </w:pPr>
      <w:r>
        <w:rPr>
          <w:noProof/>
        </w:rPr>
        <w:drawing>
          <wp:inline distT="0" distB="0" distL="0" distR="0" wp14:anchorId="223825DB" wp14:editId="5F1109D0">
            <wp:extent cx="5759450" cy="385635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3856355"/>
                    </a:xfrm>
                    <a:prstGeom prst="rect">
                      <a:avLst/>
                    </a:prstGeom>
                  </pic:spPr>
                </pic:pic>
              </a:graphicData>
            </a:graphic>
          </wp:inline>
        </w:drawing>
      </w:r>
    </w:p>
    <w:p w14:paraId="3F223ED4" w14:textId="77777777" w:rsidR="00324974" w:rsidRPr="00073B7A" w:rsidRDefault="00324974" w:rsidP="00324974">
      <w:pPr>
        <w:pStyle w:val="CorpsA"/>
        <w:rPr>
          <w:rStyle w:val="Aucun"/>
          <w:rFonts w:ascii="DengXian" w:eastAsia="DengXian" w:hAnsi="DengXian"/>
          <w:sz w:val="20"/>
          <w:szCs w:val="20"/>
        </w:rPr>
      </w:pPr>
      <w:r w:rsidRPr="00073B7A">
        <w:rPr>
          <w:rStyle w:val="Aucun"/>
          <w:rFonts w:ascii="DengXian" w:eastAsia="DengXian" w:hAnsi="DengXian"/>
          <w:sz w:val="20"/>
          <w:szCs w:val="20"/>
        </w:rPr>
        <w:t>L’éventuelle implantation de plantes allergéniques</w:t>
      </w:r>
    </w:p>
    <w:p w14:paraId="1FD11951" w14:textId="77777777" w:rsidR="00324974" w:rsidRPr="00073B7A" w:rsidRDefault="00324974" w:rsidP="00324974">
      <w:pPr>
        <w:pStyle w:val="Pardfaut"/>
        <w:rPr>
          <w:rStyle w:val="Aucun"/>
          <w:rFonts w:ascii="DengXian" w:eastAsia="DengXian" w:hAnsi="DengXian"/>
          <w:color w:val="262B2F"/>
          <w:sz w:val="20"/>
          <w:szCs w:val="20"/>
          <w:u w:color="262B2F"/>
          <w:shd w:val="clear" w:color="auto" w:fill="FFFFFF"/>
        </w:rPr>
      </w:pPr>
    </w:p>
    <w:p w14:paraId="33C50B26" w14:textId="77777777" w:rsidR="00324974" w:rsidRPr="00073B7A" w:rsidRDefault="00324974" w:rsidP="00324974">
      <w:pPr>
        <w:pStyle w:val="Pardfaut"/>
        <w:rPr>
          <w:rStyle w:val="Aucun"/>
          <w:rFonts w:ascii="DengXian" w:eastAsia="DengXian" w:hAnsi="DengXian"/>
          <w:color w:val="262B2F"/>
          <w:sz w:val="20"/>
          <w:szCs w:val="20"/>
          <w:u w:color="262B2F"/>
          <w:shd w:val="clear" w:color="auto" w:fill="FFFFFF"/>
        </w:rPr>
      </w:pPr>
      <w:r w:rsidRPr="00073B7A">
        <w:rPr>
          <w:rStyle w:val="Aucun"/>
          <w:rFonts w:ascii="DengXian" w:eastAsia="DengXian" w:hAnsi="DengXian"/>
          <w:color w:val="262B2F"/>
          <w:sz w:val="20"/>
          <w:szCs w:val="20"/>
          <w:u w:color="262B2F"/>
          <w:shd w:val="clear" w:color="auto" w:fill="FFFFFF"/>
        </w:rPr>
        <w:t>L’Ambroisie</w:t>
      </w:r>
    </w:p>
    <w:p w14:paraId="294978AA" w14:textId="77777777" w:rsidR="00324974" w:rsidRPr="00073B7A" w:rsidRDefault="00324974" w:rsidP="00324974">
      <w:pPr>
        <w:pStyle w:val="Pardfaut"/>
        <w:rPr>
          <w:rStyle w:val="Aucun"/>
          <w:rFonts w:ascii="DengXian" w:eastAsia="DengXian" w:hAnsi="DengXian"/>
          <w:color w:val="262B2F"/>
          <w:sz w:val="20"/>
          <w:szCs w:val="20"/>
          <w:u w:color="262B2F"/>
          <w:shd w:val="clear" w:color="auto" w:fill="FFFFFF"/>
        </w:rPr>
      </w:pPr>
    </w:p>
    <w:p w14:paraId="02A6CCA8" w14:textId="77777777" w:rsidR="00324974" w:rsidRPr="00324974" w:rsidRDefault="00324974" w:rsidP="00324974">
      <w:pPr>
        <w:pStyle w:val="CorpsA"/>
        <w:rPr>
          <w:rFonts w:ascii="DengXian" w:eastAsia="DengXian" w:hAnsi="DengXian"/>
          <w:sz w:val="20"/>
          <w:szCs w:val="20"/>
        </w:rPr>
      </w:pPr>
      <w:r w:rsidRPr="00073B7A">
        <w:rPr>
          <w:rStyle w:val="Aucun"/>
          <w:rFonts w:ascii="DengXian" w:eastAsia="DengXian" w:hAnsi="DengXian"/>
          <w:color w:val="262B2F"/>
          <w:sz w:val="20"/>
          <w:szCs w:val="20"/>
          <w:u w:color="262B2F"/>
          <w:shd w:val="clear" w:color="auto" w:fill="FFFFFF"/>
        </w:rPr>
        <w:t>L’Ambroisie peut déclencher de très fortes crise</w:t>
      </w:r>
      <w:r>
        <w:rPr>
          <w:rStyle w:val="Aucun"/>
          <w:rFonts w:ascii="DengXian" w:eastAsia="DengXian" w:hAnsi="DengXian"/>
          <w:color w:val="262B2F"/>
          <w:sz w:val="20"/>
          <w:szCs w:val="20"/>
          <w:u w:color="262B2F"/>
          <w:shd w:val="clear" w:color="auto" w:fill="FFFFFF"/>
        </w:rPr>
        <w:t>s</w:t>
      </w:r>
      <w:r w:rsidRPr="00073B7A">
        <w:rPr>
          <w:rStyle w:val="Aucun"/>
          <w:rFonts w:ascii="DengXian" w:eastAsia="DengXian" w:hAnsi="DengXian"/>
          <w:color w:val="262B2F"/>
          <w:sz w:val="20"/>
          <w:szCs w:val="20"/>
          <w:u w:color="262B2F"/>
          <w:shd w:val="clear" w:color="auto" w:fill="FFFFFF"/>
        </w:rPr>
        <w:t xml:space="preserve"> d’allergie.</w:t>
      </w:r>
    </w:p>
    <w:sectPr w:rsidR="00324974" w:rsidRPr="00324974">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5156A4" w14:textId="77777777" w:rsidR="001E2416" w:rsidRDefault="001E2416" w:rsidP="001E2416">
      <w:pPr>
        <w:spacing w:after="0" w:line="240" w:lineRule="auto"/>
      </w:pPr>
      <w:r>
        <w:separator/>
      </w:r>
    </w:p>
  </w:endnote>
  <w:endnote w:type="continuationSeparator" w:id="0">
    <w:p w14:paraId="3FEB76D8" w14:textId="77777777" w:rsidR="001E2416" w:rsidRDefault="001E2416" w:rsidP="001E24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Neue">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2E8C4" w14:textId="77777777" w:rsidR="001E2416" w:rsidRDefault="001E2416">
    <w:pPr>
      <w:pStyle w:val="Pieddepage"/>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lang w:val="fr-FR"/>
      </w:rPr>
      <w:t>2</w:t>
    </w:r>
    <w:r>
      <w:rPr>
        <w:caps/>
        <w:color w:val="4472C4" w:themeColor="accent1"/>
      </w:rPr>
      <w:fldChar w:fldCharType="end"/>
    </w:r>
  </w:p>
  <w:p w14:paraId="04A8774E" w14:textId="77777777" w:rsidR="001E2416" w:rsidRDefault="001E241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B266CD" w14:textId="77777777" w:rsidR="001E2416" w:rsidRDefault="001E2416" w:rsidP="001E2416">
      <w:pPr>
        <w:spacing w:after="0" w:line="240" w:lineRule="auto"/>
      </w:pPr>
      <w:r>
        <w:separator/>
      </w:r>
    </w:p>
  </w:footnote>
  <w:footnote w:type="continuationSeparator" w:id="0">
    <w:p w14:paraId="0DD6C74F" w14:textId="77777777" w:rsidR="001E2416" w:rsidRDefault="001E2416" w:rsidP="001E24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F83336"/>
    <w:multiLevelType w:val="hybridMultilevel"/>
    <w:tmpl w:val="983808BA"/>
    <w:lvl w:ilvl="0" w:tplc="0C1AC350">
      <w:start w:val="1"/>
      <w:numFmt w:val="bullet"/>
      <w:lvlText w:val="-"/>
      <w:lvlJc w:val="left"/>
      <w:pPr>
        <w:tabs>
          <w:tab w:val="num" w:pos="240"/>
          <w:tab w:val="left" w:pos="720"/>
        </w:tabs>
        <w:ind w:left="96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tplc="AAB0D50A">
      <w:start w:val="1"/>
      <w:numFmt w:val="bullet"/>
      <w:lvlText w:val="•"/>
      <w:lvlJc w:val="left"/>
      <w:pPr>
        <w:tabs>
          <w:tab w:val="left" w:pos="220"/>
          <w:tab w:val="num" w:pos="480"/>
          <w:tab w:val="left" w:pos="720"/>
        </w:tabs>
        <w:ind w:left="1200" w:hanging="960"/>
      </w:pPr>
      <w:rPr>
        <w:rFonts w:ascii="Arial" w:hAnsi="Arial" w:hint="default"/>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tplc="3A426E6A">
      <w:start w:val="1"/>
      <w:numFmt w:val="bullet"/>
      <w:lvlText w:val="-"/>
      <w:lvlJc w:val="left"/>
      <w:pPr>
        <w:tabs>
          <w:tab w:val="left" w:pos="220"/>
          <w:tab w:val="left" w:pos="480"/>
          <w:tab w:val="num" w:pos="720"/>
        </w:tabs>
        <w:ind w:left="144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tplc="63506FAE">
      <w:start w:val="1"/>
      <w:numFmt w:val="bullet"/>
      <w:lvlText w:val="-"/>
      <w:lvlJc w:val="left"/>
      <w:pPr>
        <w:tabs>
          <w:tab w:val="left" w:pos="220"/>
          <w:tab w:val="left" w:pos="480"/>
          <w:tab w:val="left" w:pos="720"/>
          <w:tab w:val="num" w:pos="960"/>
        </w:tabs>
        <w:ind w:left="168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tplc="C71ABC62">
      <w:start w:val="1"/>
      <w:numFmt w:val="bullet"/>
      <w:lvlText w:val="-"/>
      <w:lvlJc w:val="left"/>
      <w:pPr>
        <w:tabs>
          <w:tab w:val="left" w:pos="220"/>
          <w:tab w:val="left" w:pos="480"/>
          <w:tab w:val="left" w:pos="720"/>
          <w:tab w:val="num" w:pos="1200"/>
        </w:tabs>
        <w:ind w:left="192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tplc="772C3C10">
      <w:start w:val="1"/>
      <w:numFmt w:val="bullet"/>
      <w:lvlText w:val="-"/>
      <w:lvlJc w:val="left"/>
      <w:pPr>
        <w:tabs>
          <w:tab w:val="left" w:pos="220"/>
          <w:tab w:val="left" w:pos="480"/>
          <w:tab w:val="left" w:pos="720"/>
          <w:tab w:val="num" w:pos="1440"/>
        </w:tabs>
        <w:ind w:left="216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tplc="C1569E6C">
      <w:start w:val="1"/>
      <w:numFmt w:val="bullet"/>
      <w:lvlText w:val="-"/>
      <w:lvlJc w:val="left"/>
      <w:pPr>
        <w:tabs>
          <w:tab w:val="left" w:pos="220"/>
          <w:tab w:val="left" w:pos="480"/>
          <w:tab w:val="left" w:pos="720"/>
          <w:tab w:val="num" w:pos="1680"/>
        </w:tabs>
        <w:ind w:left="240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tplc="40A44DE8">
      <w:start w:val="1"/>
      <w:numFmt w:val="bullet"/>
      <w:lvlText w:val="-"/>
      <w:lvlJc w:val="left"/>
      <w:pPr>
        <w:tabs>
          <w:tab w:val="left" w:pos="220"/>
          <w:tab w:val="left" w:pos="480"/>
          <w:tab w:val="left" w:pos="720"/>
          <w:tab w:val="num" w:pos="1920"/>
        </w:tabs>
        <w:ind w:left="264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tplc="40BCF922">
      <w:start w:val="1"/>
      <w:numFmt w:val="bullet"/>
      <w:lvlText w:val="-"/>
      <w:lvlJc w:val="left"/>
      <w:pPr>
        <w:tabs>
          <w:tab w:val="left" w:pos="220"/>
          <w:tab w:val="left" w:pos="480"/>
          <w:tab w:val="left" w:pos="720"/>
          <w:tab w:val="num" w:pos="2160"/>
        </w:tabs>
        <w:ind w:left="288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1" w15:restartNumberingAfterBreak="0">
    <w:nsid w:val="28F6131E"/>
    <w:multiLevelType w:val="hybridMultilevel"/>
    <w:tmpl w:val="1E642294"/>
    <w:styleLink w:val="Tiret"/>
    <w:lvl w:ilvl="0" w:tplc="FB964B7E">
      <w:start w:val="1"/>
      <w:numFmt w:val="bullet"/>
      <w:lvlText w:val="-"/>
      <w:lvlJc w:val="left"/>
      <w:pPr>
        <w:tabs>
          <w:tab w:val="num" w:pos="240"/>
          <w:tab w:val="left" w:pos="720"/>
        </w:tabs>
        <w:ind w:left="96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tplc="8C644334">
      <w:start w:val="1"/>
      <w:numFmt w:val="decimal"/>
      <w:lvlText w:val="%2)"/>
      <w:lvlJc w:val="left"/>
      <w:pPr>
        <w:tabs>
          <w:tab w:val="left" w:pos="548"/>
          <w:tab w:val="num" w:pos="480"/>
          <w:tab w:val="left" w:pos="720"/>
        </w:tabs>
        <w:ind w:left="1528" w:hanging="960"/>
      </w:pPr>
      <w:rPr>
        <w:rFonts w:ascii="Helvetica Neue" w:eastAsia="Arial Unicode MS" w:hAnsi="Helvetica Neue" w:cs="Arial Unicode MS"/>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tplc="99CA696C">
      <w:start w:val="1"/>
      <w:numFmt w:val="bullet"/>
      <w:lvlText w:val="-"/>
      <w:lvlJc w:val="left"/>
      <w:pPr>
        <w:tabs>
          <w:tab w:val="left" w:pos="220"/>
          <w:tab w:val="left" w:pos="480"/>
          <w:tab w:val="num" w:pos="720"/>
        </w:tabs>
        <w:ind w:left="144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tplc="B2F6FE26">
      <w:start w:val="1"/>
      <w:numFmt w:val="bullet"/>
      <w:lvlText w:val="-"/>
      <w:lvlJc w:val="left"/>
      <w:pPr>
        <w:tabs>
          <w:tab w:val="left" w:pos="220"/>
          <w:tab w:val="left" w:pos="480"/>
          <w:tab w:val="left" w:pos="720"/>
          <w:tab w:val="num" w:pos="960"/>
        </w:tabs>
        <w:ind w:left="168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tplc="C5F6085C">
      <w:start w:val="1"/>
      <w:numFmt w:val="bullet"/>
      <w:lvlText w:val="-"/>
      <w:lvlJc w:val="left"/>
      <w:pPr>
        <w:tabs>
          <w:tab w:val="left" w:pos="220"/>
          <w:tab w:val="left" w:pos="480"/>
          <w:tab w:val="left" w:pos="720"/>
          <w:tab w:val="num" w:pos="1200"/>
        </w:tabs>
        <w:ind w:left="192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tplc="ECD410AC">
      <w:start w:val="1"/>
      <w:numFmt w:val="bullet"/>
      <w:lvlText w:val="-"/>
      <w:lvlJc w:val="left"/>
      <w:pPr>
        <w:tabs>
          <w:tab w:val="left" w:pos="220"/>
          <w:tab w:val="left" w:pos="480"/>
          <w:tab w:val="left" w:pos="720"/>
          <w:tab w:val="num" w:pos="1440"/>
        </w:tabs>
        <w:ind w:left="216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tplc="F4A883FA">
      <w:start w:val="1"/>
      <w:numFmt w:val="bullet"/>
      <w:lvlText w:val="-"/>
      <w:lvlJc w:val="left"/>
      <w:pPr>
        <w:tabs>
          <w:tab w:val="left" w:pos="220"/>
          <w:tab w:val="left" w:pos="480"/>
          <w:tab w:val="left" w:pos="720"/>
          <w:tab w:val="num" w:pos="1680"/>
        </w:tabs>
        <w:ind w:left="240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tplc="77A8F7D8">
      <w:start w:val="1"/>
      <w:numFmt w:val="bullet"/>
      <w:lvlText w:val="-"/>
      <w:lvlJc w:val="left"/>
      <w:pPr>
        <w:tabs>
          <w:tab w:val="left" w:pos="220"/>
          <w:tab w:val="left" w:pos="480"/>
          <w:tab w:val="left" w:pos="720"/>
          <w:tab w:val="num" w:pos="1920"/>
        </w:tabs>
        <w:ind w:left="264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tplc="A0682A6A">
      <w:start w:val="1"/>
      <w:numFmt w:val="bullet"/>
      <w:lvlText w:val="-"/>
      <w:lvlJc w:val="left"/>
      <w:pPr>
        <w:tabs>
          <w:tab w:val="left" w:pos="220"/>
          <w:tab w:val="left" w:pos="480"/>
          <w:tab w:val="left" w:pos="720"/>
          <w:tab w:val="num" w:pos="2160"/>
        </w:tabs>
        <w:ind w:left="2880" w:hanging="9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2" w15:restartNumberingAfterBreak="0">
    <w:nsid w:val="509C3F9B"/>
    <w:multiLevelType w:val="hybridMultilevel"/>
    <w:tmpl w:val="A308049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63F14FBD"/>
    <w:multiLevelType w:val="hybridMultilevel"/>
    <w:tmpl w:val="1E642294"/>
    <w:numStyleLink w:val="Tiret"/>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B99"/>
    <w:rsid w:val="0009510D"/>
    <w:rsid w:val="001865E0"/>
    <w:rsid w:val="001E2416"/>
    <w:rsid w:val="002372BD"/>
    <w:rsid w:val="00324974"/>
    <w:rsid w:val="00605B99"/>
    <w:rsid w:val="006E1CB8"/>
    <w:rsid w:val="007826A3"/>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4DFE3D"/>
  <w15:chartTrackingRefBased/>
  <w15:docId w15:val="{C45F21D9-D2C6-458C-8ECC-B181FBC8F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B9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05B99"/>
    <w:pPr>
      <w:ind w:left="720"/>
      <w:contextualSpacing/>
    </w:pPr>
  </w:style>
  <w:style w:type="paragraph" w:customStyle="1" w:styleId="Pardfaut">
    <w:name w:val="Par défaut"/>
    <w:rsid w:val="00605B99"/>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fr-FR" w:eastAsia="fr-CH"/>
      <w14:textOutline w14:w="0" w14:cap="flat" w14:cmpd="sng" w14:algn="ctr">
        <w14:noFill/>
        <w14:prstDash w14:val="solid"/>
        <w14:bevel/>
      </w14:textOutline>
    </w:rPr>
  </w:style>
  <w:style w:type="character" w:customStyle="1" w:styleId="Aucun">
    <w:name w:val="Aucun"/>
    <w:rsid w:val="00605B99"/>
    <w:rPr>
      <w:lang w:val="fr-FR"/>
    </w:rPr>
  </w:style>
  <w:style w:type="paragraph" w:styleId="En-tte">
    <w:name w:val="header"/>
    <w:basedOn w:val="Normal"/>
    <w:link w:val="En-tteCar"/>
    <w:uiPriority w:val="99"/>
    <w:unhideWhenUsed/>
    <w:rsid w:val="001E2416"/>
    <w:pPr>
      <w:tabs>
        <w:tab w:val="center" w:pos="4536"/>
        <w:tab w:val="right" w:pos="9072"/>
      </w:tabs>
      <w:spacing w:after="0" w:line="240" w:lineRule="auto"/>
    </w:pPr>
  </w:style>
  <w:style w:type="character" w:customStyle="1" w:styleId="En-tteCar">
    <w:name w:val="En-tête Car"/>
    <w:basedOn w:val="Policepardfaut"/>
    <w:link w:val="En-tte"/>
    <w:uiPriority w:val="99"/>
    <w:rsid w:val="001E2416"/>
  </w:style>
  <w:style w:type="paragraph" w:styleId="Pieddepage">
    <w:name w:val="footer"/>
    <w:basedOn w:val="Normal"/>
    <w:link w:val="PieddepageCar"/>
    <w:uiPriority w:val="99"/>
    <w:unhideWhenUsed/>
    <w:rsid w:val="001E241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E2416"/>
  </w:style>
  <w:style w:type="paragraph" w:styleId="NormalWeb">
    <w:name w:val="Normal (Web)"/>
    <w:basedOn w:val="Normal"/>
    <w:uiPriority w:val="99"/>
    <w:semiHidden/>
    <w:unhideWhenUsed/>
    <w:rsid w:val="00324974"/>
    <w:pPr>
      <w:spacing w:before="100" w:beforeAutospacing="1" w:after="100" w:afterAutospacing="1" w:line="240" w:lineRule="auto"/>
    </w:pPr>
    <w:rPr>
      <w:rFonts w:ascii="Times New Roman" w:eastAsia="Times New Roman" w:hAnsi="Times New Roman" w:cs="Times New Roman"/>
      <w:sz w:val="24"/>
      <w:szCs w:val="24"/>
      <w:lang w:eastAsia="fr-CH"/>
    </w:rPr>
  </w:style>
  <w:style w:type="numbering" w:customStyle="1" w:styleId="Tiret">
    <w:name w:val="Tiret"/>
    <w:rsid w:val="00324974"/>
    <w:pPr>
      <w:numPr>
        <w:numId w:val="2"/>
      </w:numPr>
    </w:pPr>
  </w:style>
  <w:style w:type="paragraph" w:customStyle="1" w:styleId="CorpsA">
    <w:name w:val="Corps A"/>
    <w:rsid w:val="00324974"/>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fr-FR" w:eastAsia="fr-CH"/>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t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if"/><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e431db60dd736f3a/Documents/Classeur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CH" sz="1100" b="1"/>
              <a:t>Valeur mensuelle pour l'année 2018 - Dioxyde d'azote (NO2) en µg/m3 (microgrammes par m3</a:t>
            </a:r>
            <a:r>
              <a:rPr lang="fr-CH" sz="1100"/>
              <a:t>)</a:t>
            </a:r>
          </a:p>
        </c:rich>
      </c:tx>
      <c:layout>
        <c:manualLayout>
          <c:xMode val="edge"/>
          <c:yMode val="edge"/>
          <c:x val="0.15193650793650795"/>
          <c:y val="1.75438596491228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5.0728325625963425E-2"/>
          <c:y val="0.1223157894736842"/>
          <c:w val="0.92599125109361324"/>
          <c:h val="0.60286448404475756"/>
        </c:manualLayout>
      </c:layout>
      <c:lineChart>
        <c:grouping val="standard"/>
        <c:varyColors val="0"/>
        <c:ser>
          <c:idx val="0"/>
          <c:order val="0"/>
          <c:tx>
            <c:strRef>
              <c:f>'DIOXYDE D''AZOTE NO2'!$A$3:$B$3</c:f>
              <c:strCache>
                <c:ptCount val="2"/>
                <c:pt idx="0">
                  <c:v>Urbaine</c:v>
                </c:pt>
                <c:pt idx="1">
                  <c:v>Necker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'DIOXYDE D''AZOTE NO2'!$C$2:$N$2</c:f>
              <c:numCache>
                <c:formatCode>mmm\-yy</c:formatCode>
                <c:ptCount val="12"/>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numCache>
            </c:numRef>
          </c:cat>
          <c:val>
            <c:numRef>
              <c:f>'DIOXYDE D''AZOTE NO2'!$C$3:$N$3</c:f>
              <c:numCache>
                <c:formatCode>General</c:formatCode>
                <c:ptCount val="12"/>
                <c:pt idx="0">
                  <c:v>31</c:v>
                </c:pt>
                <c:pt idx="1">
                  <c:v>33</c:v>
                </c:pt>
                <c:pt idx="2">
                  <c:v>40</c:v>
                </c:pt>
                <c:pt idx="3">
                  <c:v>36</c:v>
                </c:pt>
                <c:pt idx="4">
                  <c:v>31</c:v>
                </c:pt>
                <c:pt idx="5">
                  <c:v>28</c:v>
                </c:pt>
                <c:pt idx="6">
                  <c:v>33</c:v>
                </c:pt>
                <c:pt idx="7">
                  <c:v>30</c:v>
                </c:pt>
                <c:pt idx="8">
                  <c:v>37</c:v>
                </c:pt>
                <c:pt idx="9">
                  <c:v>43</c:v>
                </c:pt>
                <c:pt idx="10">
                  <c:v>38</c:v>
                </c:pt>
                <c:pt idx="11">
                  <c:v>37</c:v>
                </c:pt>
              </c:numCache>
            </c:numRef>
          </c:val>
          <c:smooth val="0"/>
          <c:extLst>
            <c:ext xmlns:c16="http://schemas.microsoft.com/office/drawing/2014/chart" uri="{C3380CC4-5D6E-409C-BE32-E72D297353CC}">
              <c16:uniqueId val="{00000000-407C-4CD7-A0AE-2689F240A727}"/>
            </c:ext>
          </c:extLst>
        </c:ser>
        <c:ser>
          <c:idx val="1"/>
          <c:order val="1"/>
          <c:tx>
            <c:strRef>
              <c:f>'DIOXYDE D''AZOTE NO2'!$A$4:$B$4</c:f>
              <c:strCache>
                <c:ptCount val="2"/>
                <c:pt idx="0">
                  <c:v>Périurbaine</c:v>
                </c:pt>
                <c:pt idx="1">
                  <c:v>Foron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'DIOXYDE D''AZOTE NO2'!$C$2:$N$2</c:f>
              <c:numCache>
                <c:formatCode>mmm\-yy</c:formatCode>
                <c:ptCount val="12"/>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numCache>
            </c:numRef>
          </c:cat>
          <c:val>
            <c:numRef>
              <c:f>'DIOXYDE D''AZOTE NO2'!$C$4:$N$4</c:f>
              <c:numCache>
                <c:formatCode>General</c:formatCode>
                <c:ptCount val="12"/>
                <c:pt idx="0">
                  <c:v>24</c:v>
                </c:pt>
                <c:pt idx="1">
                  <c:v>25</c:v>
                </c:pt>
                <c:pt idx="2">
                  <c:v>28</c:v>
                </c:pt>
                <c:pt idx="3">
                  <c:v>18</c:v>
                </c:pt>
                <c:pt idx="4">
                  <c:v>14</c:v>
                </c:pt>
                <c:pt idx="5">
                  <c:v>9</c:v>
                </c:pt>
                <c:pt idx="6">
                  <c:v>11</c:v>
                </c:pt>
                <c:pt idx="7">
                  <c:v>10</c:v>
                </c:pt>
                <c:pt idx="8">
                  <c:v>15</c:v>
                </c:pt>
                <c:pt idx="9">
                  <c:v>24</c:v>
                </c:pt>
                <c:pt idx="10">
                  <c:v>23</c:v>
                </c:pt>
                <c:pt idx="11">
                  <c:v>22</c:v>
                </c:pt>
              </c:numCache>
            </c:numRef>
          </c:val>
          <c:smooth val="0"/>
          <c:extLst>
            <c:ext xmlns:c16="http://schemas.microsoft.com/office/drawing/2014/chart" uri="{C3380CC4-5D6E-409C-BE32-E72D297353CC}">
              <c16:uniqueId val="{00000001-407C-4CD7-A0AE-2689F240A727}"/>
            </c:ext>
          </c:extLst>
        </c:ser>
        <c:ser>
          <c:idx val="2"/>
          <c:order val="2"/>
          <c:tx>
            <c:strRef>
              <c:f>'DIOXYDE D''AZOTE NO2'!$A$5:$B$5</c:f>
              <c:strCache>
                <c:ptCount val="2"/>
                <c:pt idx="0">
                  <c:v>Périurbaine</c:v>
                </c:pt>
                <c:pt idx="1">
                  <c:v>Meyrin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'DIOXYDE D''AZOTE NO2'!$C$2:$N$2</c:f>
              <c:numCache>
                <c:formatCode>mmm\-yy</c:formatCode>
                <c:ptCount val="12"/>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numCache>
            </c:numRef>
          </c:cat>
          <c:val>
            <c:numRef>
              <c:f>'DIOXYDE D''AZOTE NO2'!$C$5:$N$5</c:f>
              <c:numCache>
                <c:formatCode>General</c:formatCode>
                <c:ptCount val="12"/>
                <c:pt idx="0">
                  <c:v>18</c:v>
                </c:pt>
                <c:pt idx="1">
                  <c:v>19</c:v>
                </c:pt>
                <c:pt idx="2">
                  <c:v>23</c:v>
                </c:pt>
                <c:pt idx="3">
                  <c:v>15</c:v>
                </c:pt>
                <c:pt idx="4">
                  <c:v>13</c:v>
                </c:pt>
                <c:pt idx="5">
                  <c:v>10</c:v>
                </c:pt>
                <c:pt idx="6">
                  <c:v>11</c:v>
                </c:pt>
                <c:pt idx="7">
                  <c:v>11</c:v>
                </c:pt>
                <c:pt idx="8">
                  <c:v>14</c:v>
                </c:pt>
                <c:pt idx="9">
                  <c:v>21</c:v>
                </c:pt>
                <c:pt idx="10">
                  <c:v>23</c:v>
                </c:pt>
                <c:pt idx="11">
                  <c:v>20</c:v>
                </c:pt>
              </c:numCache>
            </c:numRef>
          </c:val>
          <c:smooth val="0"/>
          <c:extLst>
            <c:ext xmlns:c16="http://schemas.microsoft.com/office/drawing/2014/chart" uri="{C3380CC4-5D6E-409C-BE32-E72D297353CC}">
              <c16:uniqueId val="{00000002-407C-4CD7-A0AE-2689F240A727}"/>
            </c:ext>
          </c:extLst>
        </c:ser>
        <c:ser>
          <c:idx val="3"/>
          <c:order val="3"/>
          <c:tx>
            <c:strRef>
              <c:f>'DIOXYDE D''AZOTE NO2'!$A$6:$B$6</c:f>
              <c:strCache>
                <c:ptCount val="2"/>
                <c:pt idx="0">
                  <c:v>Proximité trafic</c:v>
                </c:pt>
                <c:pt idx="1">
                  <c:v>Aéroport de Genève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'DIOXYDE D''AZOTE NO2'!$C$2:$N$2</c:f>
              <c:numCache>
                <c:formatCode>mmm\-yy</c:formatCode>
                <c:ptCount val="12"/>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numCache>
            </c:numRef>
          </c:cat>
          <c:val>
            <c:numRef>
              <c:f>'DIOXYDE D''AZOTE NO2'!$C$6:$N$6</c:f>
              <c:numCache>
                <c:formatCode>General</c:formatCode>
                <c:ptCount val="12"/>
                <c:pt idx="0">
                  <c:v>29</c:v>
                </c:pt>
                <c:pt idx="1">
                  <c:v>24</c:v>
                </c:pt>
                <c:pt idx="2">
                  <c:v>32</c:v>
                </c:pt>
                <c:pt idx="3">
                  <c:v>25</c:v>
                </c:pt>
                <c:pt idx="4">
                  <c:v>16</c:v>
                </c:pt>
                <c:pt idx="5">
                  <c:v>13</c:v>
                </c:pt>
                <c:pt idx="6">
                  <c:v>17</c:v>
                </c:pt>
                <c:pt idx="7">
                  <c:v>21</c:v>
                </c:pt>
                <c:pt idx="8">
                  <c:v>24</c:v>
                </c:pt>
                <c:pt idx="9">
                  <c:v>30</c:v>
                </c:pt>
                <c:pt idx="10">
                  <c:v>32</c:v>
                </c:pt>
                <c:pt idx="11">
                  <c:v>32</c:v>
                </c:pt>
              </c:numCache>
            </c:numRef>
          </c:val>
          <c:smooth val="0"/>
          <c:extLst>
            <c:ext xmlns:c16="http://schemas.microsoft.com/office/drawing/2014/chart" uri="{C3380CC4-5D6E-409C-BE32-E72D297353CC}">
              <c16:uniqueId val="{00000003-407C-4CD7-A0AE-2689F240A727}"/>
            </c:ext>
          </c:extLst>
        </c:ser>
        <c:ser>
          <c:idx val="4"/>
          <c:order val="4"/>
          <c:tx>
            <c:strRef>
              <c:f>'DIOXYDE D''AZOTE NO2'!$A$7:$B$7</c:f>
              <c:strCache>
                <c:ptCount val="2"/>
                <c:pt idx="0">
                  <c:v>Rurale</c:v>
                </c:pt>
                <c:pt idx="1">
                  <c:v>Passeiry</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'DIOXYDE D''AZOTE NO2'!$C$2:$N$2</c:f>
              <c:numCache>
                <c:formatCode>mmm\-yy</c:formatCode>
                <c:ptCount val="12"/>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numCache>
            </c:numRef>
          </c:cat>
          <c:val>
            <c:numRef>
              <c:f>'DIOXYDE D''AZOTE NO2'!$C$7:$N$7</c:f>
              <c:numCache>
                <c:formatCode>General</c:formatCode>
                <c:ptCount val="12"/>
                <c:pt idx="0">
                  <c:v>11</c:v>
                </c:pt>
                <c:pt idx="1">
                  <c:v>13</c:v>
                </c:pt>
                <c:pt idx="2">
                  <c:v>15</c:v>
                </c:pt>
                <c:pt idx="3">
                  <c:v>9</c:v>
                </c:pt>
                <c:pt idx="4">
                  <c:v>8</c:v>
                </c:pt>
                <c:pt idx="5">
                  <c:v>6</c:v>
                </c:pt>
                <c:pt idx="6">
                  <c:v>8</c:v>
                </c:pt>
                <c:pt idx="7">
                  <c:v>7</c:v>
                </c:pt>
                <c:pt idx="8">
                  <c:v>10</c:v>
                </c:pt>
                <c:pt idx="9">
                  <c:v>15</c:v>
                </c:pt>
                <c:pt idx="10">
                  <c:v>15</c:v>
                </c:pt>
                <c:pt idx="11">
                  <c:v>13</c:v>
                </c:pt>
              </c:numCache>
            </c:numRef>
          </c:val>
          <c:smooth val="0"/>
          <c:extLst>
            <c:ext xmlns:c16="http://schemas.microsoft.com/office/drawing/2014/chart" uri="{C3380CC4-5D6E-409C-BE32-E72D297353CC}">
              <c16:uniqueId val="{00000004-407C-4CD7-A0AE-2689F240A727}"/>
            </c:ext>
          </c:extLst>
        </c:ser>
        <c:dLbls>
          <c:showLegendKey val="0"/>
          <c:showVal val="0"/>
          <c:showCatName val="0"/>
          <c:showSerName val="0"/>
          <c:showPercent val="0"/>
          <c:showBubbleSize val="0"/>
        </c:dLbls>
        <c:marker val="1"/>
        <c:smooth val="0"/>
        <c:axId val="261179312"/>
        <c:axId val="1122274160"/>
      </c:lineChart>
      <c:dateAx>
        <c:axId val="26117931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22274160"/>
        <c:crosses val="autoZero"/>
        <c:auto val="1"/>
        <c:lblOffset val="100"/>
        <c:baseTimeUnit val="months"/>
      </c:dateAx>
      <c:valAx>
        <c:axId val="1122274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61179312"/>
        <c:crosses val="autoZero"/>
        <c:crossBetween val="between"/>
      </c:valAx>
      <c:spPr>
        <a:noFill/>
        <a:ln>
          <a:noFill/>
        </a:ln>
        <a:effectLst/>
      </c:spPr>
    </c:plotArea>
    <c:legend>
      <c:legendPos val="b"/>
      <c:layout>
        <c:manualLayout>
          <c:xMode val="edge"/>
          <c:yMode val="edge"/>
          <c:x val="0"/>
          <c:y val="0.80657770410277663"/>
          <c:w val="1"/>
          <c:h val="0.126755629230556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12</Pages>
  <Words>1805</Words>
  <Characters>9931</Characters>
  <Application>Microsoft Office Word</Application>
  <DocSecurity>0</DocSecurity>
  <Lines>82</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cecilia morganella</dc:creator>
  <cp:keywords/>
  <dc:description/>
  <cp:lastModifiedBy>vanessa cecilia morganella</cp:lastModifiedBy>
  <cp:revision>2</cp:revision>
  <dcterms:created xsi:type="dcterms:W3CDTF">2020-01-27T21:10:00Z</dcterms:created>
  <dcterms:modified xsi:type="dcterms:W3CDTF">2020-01-28T19:53:00Z</dcterms:modified>
</cp:coreProperties>
</file>